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2170" w:tblpY="4022"/>
        <w:tblOverlap w:val="never"/>
        <w:tblW w:w="8515" w:type="dxa"/>
        <w:tblCellMar>
          <w:left w:w="0" w:type="dxa"/>
          <w:right w:w="0" w:type="dxa"/>
        </w:tblCellMar>
        <w:tblLook w:val="01E0" w:firstRow="1" w:lastRow="1" w:firstColumn="1" w:lastColumn="1" w:noHBand="0" w:noVBand="0"/>
      </w:tblPr>
      <w:tblGrid>
        <w:gridCol w:w="8515"/>
      </w:tblGrid>
      <w:tr w:rsidR="00726E40" w:rsidRPr="00726E40" w14:paraId="226BDB75" w14:textId="77777777" w:rsidTr="00723FA2">
        <w:trPr>
          <w:trHeight w:val="598"/>
        </w:trPr>
        <w:tc>
          <w:tcPr>
            <w:tcW w:w="8515" w:type="dxa"/>
          </w:tcPr>
          <w:p w14:paraId="3B7AE4D4" w14:textId="77777777" w:rsidR="009C14E4" w:rsidRPr="00726E40" w:rsidRDefault="00BE0756" w:rsidP="00622A18">
            <w:pPr>
              <w:pStyle w:val="Heading1"/>
              <w:rPr>
                <w:color w:val="auto"/>
              </w:rPr>
            </w:pPr>
            <w:r w:rsidRPr="00726E40">
              <w:rPr>
                <w:color w:val="auto"/>
              </w:rPr>
              <w:t>Pertwee Estates Limited Retirement Benefits Scheme</w:t>
            </w:r>
          </w:p>
          <w:p w14:paraId="74A96A9C" w14:textId="77777777" w:rsidR="00BE0756" w:rsidRPr="00726E40" w:rsidRDefault="00BE0756" w:rsidP="00723FA2">
            <w:pPr>
              <w:pStyle w:val="Title"/>
              <w:rPr>
                <w:color w:val="auto"/>
              </w:rPr>
            </w:pPr>
          </w:p>
        </w:tc>
      </w:tr>
      <w:tr w:rsidR="00726E40" w:rsidRPr="00726E40" w14:paraId="03A4A5E8" w14:textId="77777777" w:rsidTr="00723FA2">
        <w:trPr>
          <w:trHeight w:val="617"/>
        </w:trPr>
        <w:tc>
          <w:tcPr>
            <w:tcW w:w="8515" w:type="dxa"/>
          </w:tcPr>
          <w:p w14:paraId="1ECEE9DA" w14:textId="77777777" w:rsidR="009C14E4" w:rsidRPr="00726E40" w:rsidRDefault="009C14E4" w:rsidP="00BE0756">
            <w:pPr>
              <w:pStyle w:val="Subtitle"/>
              <w:framePr w:wrap="auto" w:vAnchor="margin" w:hAnchor="text" w:xAlign="left" w:yAlign="inline"/>
              <w:suppressOverlap w:val="0"/>
            </w:pPr>
            <w:r w:rsidRPr="00726E40">
              <w:t>Statement of Investment Principles</w:t>
            </w:r>
          </w:p>
          <w:p w14:paraId="02EE1B94" w14:textId="77777777" w:rsidR="00BE0756" w:rsidRPr="00726E40" w:rsidRDefault="00BE0756" w:rsidP="00BE0756">
            <w:pPr>
              <w:pStyle w:val="Subtitle"/>
              <w:framePr w:wrap="auto" w:vAnchor="margin" w:hAnchor="text" w:xAlign="left" w:yAlign="inline"/>
              <w:suppressOverlap w:val="0"/>
            </w:pPr>
          </w:p>
        </w:tc>
      </w:tr>
      <w:tr w:rsidR="00726E40" w:rsidRPr="00726E40" w14:paraId="0A8DB5A4" w14:textId="77777777" w:rsidTr="00723FA2">
        <w:trPr>
          <w:trHeight w:val="617"/>
        </w:trPr>
        <w:tc>
          <w:tcPr>
            <w:tcW w:w="8515" w:type="dxa"/>
          </w:tcPr>
          <w:p w14:paraId="5E7D5E0B" w14:textId="2CC82541" w:rsidR="009C14E4" w:rsidRPr="00726E40" w:rsidRDefault="001821B2" w:rsidP="00723FA2">
            <w:pPr>
              <w:pStyle w:val="Date"/>
              <w:rPr>
                <w:b w:val="0"/>
                <w:color w:val="auto"/>
                <w:sz w:val="40"/>
                <w:szCs w:val="40"/>
              </w:rPr>
            </w:pPr>
            <w:r w:rsidRPr="00726E40">
              <w:rPr>
                <w:b w:val="0"/>
                <w:color w:val="auto"/>
                <w:sz w:val="40"/>
                <w:szCs w:val="40"/>
              </w:rPr>
              <w:t xml:space="preserve">September </w:t>
            </w:r>
            <w:r w:rsidR="003852F4" w:rsidRPr="00726E40">
              <w:rPr>
                <w:b w:val="0"/>
                <w:color w:val="auto"/>
                <w:sz w:val="40"/>
                <w:szCs w:val="40"/>
              </w:rPr>
              <w:t>2020</w:t>
            </w:r>
          </w:p>
        </w:tc>
      </w:tr>
    </w:tbl>
    <w:p w14:paraId="797DFD1C" w14:textId="77777777" w:rsidR="009C14E4" w:rsidRDefault="009C14E4">
      <w:pPr>
        <w:pStyle w:val="ContentsHeading"/>
        <w:rPr>
          <w:color w:val="auto"/>
        </w:rPr>
      </w:pPr>
      <w:r>
        <w:br w:type="page"/>
      </w:r>
      <w:r w:rsidRPr="003E06DD">
        <w:rPr>
          <w:color w:val="auto"/>
        </w:rPr>
        <w:lastRenderedPageBreak/>
        <w:t>Conte</w:t>
      </w:r>
      <w:r w:rsidR="00CC7E6C">
        <w:rPr>
          <w:color w:val="auto"/>
        </w:rPr>
        <w:t>n</w:t>
      </w:r>
      <w:r w:rsidRPr="003E06DD">
        <w:rPr>
          <w:color w:val="auto"/>
        </w:rPr>
        <w:t>ts</w:t>
      </w:r>
    </w:p>
    <w:tbl>
      <w:tblPr>
        <w:tblW w:w="0" w:type="auto"/>
        <w:tblLook w:val="04A0" w:firstRow="1" w:lastRow="0" w:firstColumn="1" w:lastColumn="0" w:noHBand="0" w:noVBand="1"/>
      </w:tblPr>
      <w:tblGrid>
        <w:gridCol w:w="6771"/>
        <w:gridCol w:w="1297"/>
      </w:tblGrid>
      <w:tr w:rsidR="00366CB8" w14:paraId="15F29659" w14:textId="77777777" w:rsidTr="009A46DC">
        <w:tc>
          <w:tcPr>
            <w:tcW w:w="6771" w:type="dxa"/>
            <w:shd w:val="clear" w:color="auto" w:fill="auto"/>
          </w:tcPr>
          <w:p w14:paraId="716425A3" w14:textId="77777777" w:rsidR="00366CB8" w:rsidRPr="009A46DC" w:rsidRDefault="00366CB8" w:rsidP="009A46DC">
            <w:pPr>
              <w:pStyle w:val="Heading1"/>
              <w:tabs>
                <w:tab w:val="left" w:pos="540"/>
              </w:tabs>
              <w:spacing w:before="0" w:after="0"/>
              <w:rPr>
                <w:b/>
                <w:color w:val="auto"/>
                <w:sz w:val="22"/>
                <w:szCs w:val="22"/>
              </w:rPr>
            </w:pPr>
            <w:r w:rsidRPr="009A46DC">
              <w:rPr>
                <w:b/>
                <w:color w:val="auto"/>
                <w:sz w:val="22"/>
                <w:szCs w:val="22"/>
              </w:rPr>
              <w:t>1. Introduction</w:t>
            </w:r>
          </w:p>
        </w:tc>
        <w:tc>
          <w:tcPr>
            <w:tcW w:w="1297" w:type="dxa"/>
            <w:shd w:val="clear" w:color="auto" w:fill="auto"/>
          </w:tcPr>
          <w:p w14:paraId="2A04D1D5" w14:textId="77777777" w:rsidR="00366CB8" w:rsidRPr="009A46DC" w:rsidRDefault="00366CB8" w:rsidP="009A46DC">
            <w:pPr>
              <w:pStyle w:val="Heading1"/>
              <w:tabs>
                <w:tab w:val="left" w:pos="540"/>
              </w:tabs>
              <w:spacing w:before="0" w:after="0"/>
              <w:jc w:val="right"/>
              <w:rPr>
                <w:b/>
                <w:color w:val="auto"/>
                <w:sz w:val="22"/>
                <w:szCs w:val="22"/>
              </w:rPr>
            </w:pPr>
            <w:r w:rsidRPr="009A46DC">
              <w:rPr>
                <w:b/>
                <w:color w:val="auto"/>
                <w:sz w:val="22"/>
                <w:szCs w:val="22"/>
              </w:rPr>
              <w:t>3</w:t>
            </w:r>
          </w:p>
        </w:tc>
      </w:tr>
      <w:tr w:rsidR="00366CB8" w14:paraId="1869EB44" w14:textId="77777777" w:rsidTr="009A46DC">
        <w:tc>
          <w:tcPr>
            <w:tcW w:w="6771" w:type="dxa"/>
            <w:shd w:val="clear" w:color="auto" w:fill="auto"/>
          </w:tcPr>
          <w:p w14:paraId="167E9021" w14:textId="77777777" w:rsidR="00366CB8" w:rsidRPr="009A46DC" w:rsidRDefault="00366CB8" w:rsidP="009A46DC">
            <w:pPr>
              <w:pStyle w:val="Heading1"/>
              <w:tabs>
                <w:tab w:val="left" w:pos="540"/>
              </w:tabs>
              <w:spacing w:before="0" w:after="0"/>
              <w:rPr>
                <w:b/>
                <w:color w:val="auto"/>
                <w:sz w:val="22"/>
                <w:szCs w:val="22"/>
              </w:rPr>
            </w:pPr>
            <w:r w:rsidRPr="009A46DC">
              <w:rPr>
                <w:b/>
                <w:color w:val="auto"/>
                <w:sz w:val="22"/>
                <w:szCs w:val="22"/>
              </w:rPr>
              <w:t xml:space="preserve">2. </w:t>
            </w:r>
            <w:r w:rsidR="007B23CF">
              <w:rPr>
                <w:b/>
                <w:color w:val="auto"/>
                <w:sz w:val="22"/>
                <w:szCs w:val="22"/>
              </w:rPr>
              <w:t xml:space="preserve">Scheme Governance and </w:t>
            </w:r>
            <w:r w:rsidRPr="009A46DC">
              <w:rPr>
                <w:b/>
                <w:color w:val="auto"/>
                <w:sz w:val="22"/>
                <w:szCs w:val="22"/>
              </w:rPr>
              <w:t>Decision Making</w:t>
            </w:r>
          </w:p>
        </w:tc>
        <w:tc>
          <w:tcPr>
            <w:tcW w:w="1297" w:type="dxa"/>
            <w:shd w:val="clear" w:color="auto" w:fill="auto"/>
          </w:tcPr>
          <w:p w14:paraId="106BF385" w14:textId="77777777" w:rsidR="00366CB8" w:rsidRPr="009A46DC" w:rsidRDefault="00366CB8" w:rsidP="009A46DC">
            <w:pPr>
              <w:pStyle w:val="Heading1"/>
              <w:tabs>
                <w:tab w:val="left" w:pos="540"/>
              </w:tabs>
              <w:spacing w:before="0" w:after="0"/>
              <w:jc w:val="right"/>
              <w:rPr>
                <w:b/>
                <w:color w:val="auto"/>
                <w:sz w:val="22"/>
                <w:szCs w:val="22"/>
              </w:rPr>
            </w:pPr>
            <w:r w:rsidRPr="009A46DC">
              <w:rPr>
                <w:b/>
                <w:color w:val="auto"/>
                <w:sz w:val="22"/>
                <w:szCs w:val="22"/>
              </w:rPr>
              <w:t>4</w:t>
            </w:r>
          </w:p>
        </w:tc>
      </w:tr>
      <w:tr w:rsidR="00366CB8" w14:paraId="5E44B641" w14:textId="77777777" w:rsidTr="009A46DC">
        <w:tc>
          <w:tcPr>
            <w:tcW w:w="6771" w:type="dxa"/>
            <w:shd w:val="clear" w:color="auto" w:fill="auto"/>
          </w:tcPr>
          <w:p w14:paraId="32736127" w14:textId="77777777" w:rsidR="00366CB8" w:rsidRPr="009A46DC" w:rsidRDefault="00366CB8" w:rsidP="009A46DC">
            <w:pPr>
              <w:pStyle w:val="Heading1"/>
              <w:tabs>
                <w:tab w:val="left" w:pos="540"/>
              </w:tabs>
              <w:spacing w:before="0" w:after="0"/>
              <w:rPr>
                <w:b/>
                <w:color w:val="auto"/>
                <w:sz w:val="22"/>
                <w:szCs w:val="22"/>
              </w:rPr>
            </w:pPr>
            <w:r w:rsidRPr="009A46DC">
              <w:rPr>
                <w:b/>
                <w:color w:val="auto"/>
                <w:sz w:val="22"/>
                <w:szCs w:val="22"/>
              </w:rPr>
              <w:t>3. Investment Objectives</w:t>
            </w:r>
            <w:r w:rsidR="007B23CF">
              <w:rPr>
                <w:b/>
                <w:color w:val="auto"/>
                <w:sz w:val="22"/>
                <w:szCs w:val="22"/>
              </w:rPr>
              <w:t xml:space="preserve"> and Strategy</w:t>
            </w:r>
          </w:p>
        </w:tc>
        <w:tc>
          <w:tcPr>
            <w:tcW w:w="1297" w:type="dxa"/>
            <w:shd w:val="clear" w:color="auto" w:fill="auto"/>
          </w:tcPr>
          <w:p w14:paraId="0F62D9A8" w14:textId="77777777" w:rsidR="00366CB8" w:rsidRPr="009A46DC" w:rsidRDefault="00366CB8" w:rsidP="009A46DC">
            <w:pPr>
              <w:pStyle w:val="Heading1"/>
              <w:tabs>
                <w:tab w:val="left" w:pos="540"/>
              </w:tabs>
              <w:spacing w:before="0" w:after="0"/>
              <w:jc w:val="right"/>
              <w:rPr>
                <w:b/>
                <w:color w:val="auto"/>
                <w:sz w:val="22"/>
                <w:szCs w:val="22"/>
              </w:rPr>
            </w:pPr>
            <w:r w:rsidRPr="009A46DC">
              <w:rPr>
                <w:b/>
                <w:color w:val="auto"/>
                <w:sz w:val="22"/>
                <w:szCs w:val="22"/>
              </w:rPr>
              <w:t>5</w:t>
            </w:r>
          </w:p>
        </w:tc>
      </w:tr>
      <w:tr w:rsidR="00366CB8" w14:paraId="2E73792B" w14:textId="77777777" w:rsidTr="009A46DC">
        <w:tc>
          <w:tcPr>
            <w:tcW w:w="6771" w:type="dxa"/>
            <w:shd w:val="clear" w:color="auto" w:fill="auto"/>
          </w:tcPr>
          <w:p w14:paraId="0D10CC9C" w14:textId="77777777" w:rsidR="00366CB8" w:rsidRPr="009A46DC" w:rsidRDefault="00366CB8" w:rsidP="007B23CF">
            <w:pPr>
              <w:pStyle w:val="Heading1"/>
              <w:tabs>
                <w:tab w:val="left" w:pos="540"/>
              </w:tabs>
              <w:spacing w:before="0" w:after="0"/>
              <w:rPr>
                <w:b/>
                <w:color w:val="auto"/>
                <w:sz w:val="22"/>
                <w:szCs w:val="22"/>
              </w:rPr>
            </w:pPr>
            <w:r w:rsidRPr="009A46DC">
              <w:rPr>
                <w:b/>
                <w:color w:val="auto"/>
                <w:sz w:val="22"/>
                <w:szCs w:val="22"/>
              </w:rPr>
              <w:t xml:space="preserve">4. </w:t>
            </w:r>
            <w:r w:rsidR="0086392B">
              <w:rPr>
                <w:b/>
                <w:color w:val="auto"/>
                <w:sz w:val="22"/>
                <w:szCs w:val="22"/>
              </w:rPr>
              <w:t>Risks</w:t>
            </w:r>
          </w:p>
        </w:tc>
        <w:tc>
          <w:tcPr>
            <w:tcW w:w="1297" w:type="dxa"/>
            <w:shd w:val="clear" w:color="auto" w:fill="auto"/>
          </w:tcPr>
          <w:p w14:paraId="58862CD9" w14:textId="356D2B55" w:rsidR="00366CB8" w:rsidRPr="009A46DC" w:rsidRDefault="009E6217" w:rsidP="009A46DC">
            <w:pPr>
              <w:pStyle w:val="Heading1"/>
              <w:tabs>
                <w:tab w:val="left" w:pos="540"/>
              </w:tabs>
              <w:spacing w:before="0" w:after="0"/>
              <w:jc w:val="right"/>
              <w:rPr>
                <w:b/>
                <w:color w:val="auto"/>
                <w:sz w:val="22"/>
                <w:szCs w:val="22"/>
              </w:rPr>
            </w:pPr>
            <w:r>
              <w:rPr>
                <w:b/>
                <w:color w:val="auto"/>
                <w:sz w:val="22"/>
                <w:szCs w:val="22"/>
              </w:rPr>
              <w:t>10</w:t>
            </w:r>
          </w:p>
        </w:tc>
      </w:tr>
      <w:tr w:rsidR="00C07431" w14:paraId="675BE37C" w14:textId="77777777" w:rsidTr="009A46DC">
        <w:tc>
          <w:tcPr>
            <w:tcW w:w="6771" w:type="dxa"/>
            <w:shd w:val="clear" w:color="auto" w:fill="auto"/>
          </w:tcPr>
          <w:p w14:paraId="1EFC3586" w14:textId="77777777" w:rsidR="00C07431" w:rsidRPr="009A46DC" w:rsidRDefault="00C07431" w:rsidP="009A46DC">
            <w:pPr>
              <w:pStyle w:val="Heading1"/>
              <w:tabs>
                <w:tab w:val="left" w:pos="540"/>
              </w:tabs>
              <w:spacing w:before="0" w:after="0"/>
              <w:rPr>
                <w:b/>
                <w:color w:val="auto"/>
                <w:sz w:val="22"/>
                <w:szCs w:val="22"/>
              </w:rPr>
            </w:pPr>
            <w:r>
              <w:rPr>
                <w:b/>
                <w:color w:val="auto"/>
                <w:sz w:val="22"/>
                <w:szCs w:val="22"/>
              </w:rPr>
              <w:t xml:space="preserve">5. </w:t>
            </w:r>
            <w:proofErr w:type="spellStart"/>
            <w:r w:rsidRPr="009A46DC">
              <w:rPr>
                <w:b/>
                <w:color w:val="auto"/>
                <w:sz w:val="22"/>
                <w:szCs w:val="22"/>
              </w:rPr>
              <w:t>Myners</w:t>
            </w:r>
            <w:proofErr w:type="spellEnd"/>
            <w:r w:rsidRPr="009A46DC">
              <w:rPr>
                <w:b/>
                <w:color w:val="auto"/>
                <w:sz w:val="22"/>
                <w:szCs w:val="22"/>
              </w:rPr>
              <w:t xml:space="preserve"> Investment Principles</w:t>
            </w:r>
          </w:p>
        </w:tc>
        <w:tc>
          <w:tcPr>
            <w:tcW w:w="1297" w:type="dxa"/>
            <w:shd w:val="clear" w:color="auto" w:fill="auto"/>
          </w:tcPr>
          <w:p w14:paraId="4C9E136C" w14:textId="437C18B9" w:rsidR="00C07431" w:rsidRPr="009A46DC" w:rsidRDefault="007B23CF" w:rsidP="009A46DC">
            <w:pPr>
              <w:pStyle w:val="Heading1"/>
              <w:tabs>
                <w:tab w:val="left" w:pos="540"/>
              </w:tabs>
              <w:spacing w:before="0" w:after="0"/>
              <w:jc w:val="right"/>
              <w:rPr>
                <w:b/>
                <w:color w:val="auto"/>
                <w:sz w:val="22"/>
                <w:szCs w:val="22"/>
              </w:rPr>
            </w:pPr>
            <w:r>
              <w:rPr>
                <w:b/>
                <w:color w:val="auto"/>
                <w:sz w:val="22"/>
                <w:szCs w:val="22"/>
              </w:rPr>
              <w:t>1</w:t>
            </w:r>
            <w:r w:rsidR="009E6217">
              <w:rPr>
                <w:b/>
                <w:color w:val="auto"/>
                <w:sz w:val="22"/>
                <w:szCs w:val="22"/>
              </w:rPr>
              <w:t>1</w:t>
            </w:r>
          </w:p>
        </w:tc>
      </w:tr>
    </w:tbl>
    <w:p w14:paraId="4B32F04D" w14:textId="77777777" w:rsidR="009C14E4" w:rsidRDefault="009C14E4" w:rsidP="00CA2880">
      <w:pPr>
        <w:pStyle w:val="Heading1"/>
        <w:tabs>
          <w:tab w:val="left" w:pos="540"/>
        </w:tabs>
        <w:spacing w:before="0" w:after="0" w:line="240" w:lineRule="auto"/>
        <w:rPr>
          <w:color w:val="auto"/>
        </w:rPr>
      </w:pPr>
      <w:r>
        <w:br w:type="page"/>
      </w:r>
      <w:bookmarkStart w:id="0" w:name="_Toc192580098"/>
      <w:r w:rsidRPr="003E06DD">
        <w:rPr>
          <w:color w:val="auto"/>
        </w:rPr>
        <w:lastRenderedPageBreak/>
        <w:t>1. Introduction</w:t>
      </w:r>
      <w:bookmarkEnd w:id="0"/>
    </w:p>
    <w:p w14:paraId="7C399528" w14:textId="77777777" w:rsidR="007E23E9" w:rsidRPr="00CA2880" w:rsidRDefault="007E23E9" w:rsidP="00CA2880">
      <w:pPr>
        <w:rPr>
          <w:sz w:val="36"/>
        </w:rPr>
      </w:pPr>
    </w:p>
    <w:p w14:paraId="481C21E8" w14:textId="77777777" w:rsidR="002A157B" w:rsidRDefault="009C14E4" w:rsidP="007E23E9">
      <w:pPr>
        <w:pStyle w:val="BodyText"/>
        <w:spacing w:after="0" w:line="240" w:lineRule="auto"/>
        <w:rPr>
          <w:sz w:val="22"/>
          <w:szCs w:val="22"/>
        </w:rPr>
      </w:pPr>
      <w:r w:rsidRPr="003B10F3">
        <w:rPr>
          <w:sz w:val="22"/>
          <w:szCs w:val="22"/>
        </w:rPr>
        <w:t xml:space="preserve">Under the Pensions Act 1995, trustees are required to prepare and review regularly a </w:t>
      </w:r>
      <w:r w:rsidRPr="003B10F3">
        <w:rPr>
          <w:iCs/>
          <w:sz w:val="22"/>
          <w:szCs w:val="22"/>
        </w:rPr>
        <w:t>Statement of Investment Principles</w:t>
      </w:r>
      <w:r w:rsidR="00571306">
        <w:rPr>
          <w:iCs/>
          <w:sz w:val="22"/>
          <w:szCs w:val="22"/>
        </w:rPr>
        <w:t xml:space="preserve"> (“SIP”)</w:t>
      </w:r>
      <w:r w:rsidRPr="003B10F3">
        <w:rPr>
          <w:sz w:val="22"/>
          <w:szCs w:val="22"/>
        </w:rPr>
        <w:t xml:space="preserve">, dealing with certain specific matters.  </w:t>
      </w:r>
    </w:p>
    <w:p w14:paraId="7A4D9D37" w14:textId="77777777" w:rsidR="003B10F3" w:rsidRPr="003B10F3" w:rsidRDefault="003B10F3" w:rsidP="00CA2880">
      <w:pPr>
        <w:pStyle w:val="BodyText"/>
        <w:spacing w:after="0" w:line="240" w:lineRule="auto"/>
        <w:rPr>
          <w:sz w:val="22"/>
          <w:szCs w:val="22"/>
        </w:rPr>
      </w:pPr>
    </w:p>
    <w:p w14:paraId="0E954251" w14:textId="418AEE0E" w:rsidR="009C14E4" w:rsidRDefault="009C14E4" w:rsidP="00CA2880">
      <w:pPr>
        <w:pStyle w:val="BodyText"/>
        <w:spacing w:after="0" w:line="240" w:lineRule="auto"/>
        <w:rPr>
          <w:sz w:val="22"/>
          <w:szCs w:val="22"/>
        </w:rPr>
      </w:pPr>
      <w:r w:rsidRPr="003B10F3">
        <w:rPr>
          <w:sz w:val="22"/>
          <w:szCs w:val="22"/>
        </w:rPr>
        <w:t xml:space="preserve">This </w:t>
      </w:r>
      <w:r w:rsidR="00571306">
        <w:rPr>
          <w:sz w:val="22"/>
          <w:szCs w:val="22"/>
        </w:rPr>
        <w:t xml:space="preserve">SIP </w:t>
      </w:r>
      <w:r w:rsidRPr="003B10F3">
        <w:rPr>
          <w:sz w:val="22"/>
          <w:szCs w:val="22"/>
        </w:rPr>
        <w:t xml:space="preserve">sets out the principles governing decisions about the investment of the assets of the </w:t>
      </w:r>
      <w:r w:rsidR="00571306" w:rsidRPr="00571306">
        <w:rPr>
          <w:sz w:val="22"/>
          <w:szCs w:val="22"/>
        </w:rPr>
        <w:t xml:space="preserve">Pertwee Estates Limited Retirement Benefits Scheme </w:t>
      </w:r>
      <w:r w:rsidR="00571306">
        <w:rPr>
          <w:sz w:val="22"/>
          <w:szCs w:val="22"/>
        </w:rPr>
        <w:t xml:space="preserve">(“the </w:t>
      </w:r>
      <w:r w:rsidRPr="003B10F3">
        <w:rPr>
          <w:sz w:val="22"/>
          <w:szCs w:val="22"/>
        </w:rPr>
        <w:t>Scheme</w:t>
      </w:r>
      <w:r w:rsidR="00571306">
        <w:rPr>
          <w:sz w:val="22"/>
          <w:szCs w:val="22"/>
        </w:rPr>
        <w:t>”)</w:t>
      </w:r>
      <w:r w:rsidRPr="003B10F3">
        <w:rPr>
          <w:sz w:val="22"/>
          <w:szCs w:val="22"/>
        </w:rPr>
        <w:t xml:space="preserve">. Before preparing it, the Trustees have obtained and considered written professional advice from </w:t>
      </w:r>
      <w:r w:rsidR="00545206">
        <w:rPr>
          <w:sz w:val="22"/>
          <w:szCs w:val="22"/>
        </w:rPr>
        <w:t xml:space="preserve">The Duley Practice, part of St. James Place Wealth Management, </w:t>
      </w:r>
      <w:r w:rsidRPr="003B10F3">
        <w:rPr>
          <w:sz w:val="22"/>
          <w:szCs w:val="22"/>
        </w:rPr>
        <w:t xml:space="preserve">as their investment </w:t>
      </w:r>
      <w:r w:rsidR="00571306">
        <w:rPr>
          <w:sz w:val="22"/>
          <w:szCs w:val="22"/>
        </w:rPr>
        <w:t>advisers</w:t>
      </w:r>
      <w:r w:rsidRPr="003B10F3">
        <w:rPr>
          <w:sz w:val="22"/>
          <w:szCs w:val="22"/>
        </w:rPr>
        <w:t>.</w:t>
      </w:r>
      <w:r w:rsidR="00571306">
        <w:rPr>
          <w:sz w:val="22"/>
          <w:szCs w:val="22"/>
        </w:rPr>
        <w:t xml:space="preserve"> The Scheme Actuary is </w:t>
      </w:r>
      <w:r w:rsidR="001821B2">
        <w:rPr>
          <w:sz w:val="22"/>
          <w:szCs w:val="22"/>
        </w:rPr>
        <w:t xml:space="preserve">Nick </w:t>
      </w:r>
      <w:r w:rsidR="00571306">
        <w:rPr>
          <w:sz w:val="22"/>
          <w:szCs w:val="22"/>
        </w:rPr>
        <w:t>Atkin of Atkin and Co who has also reviewed the SIP.</w:t>
      </w:r>
      <w:r w:rsidRPr="003B10F3">
        <w:rPr>
          <w:sz w:val="22"/>
          <w:szCs w:val="22"/>
        </w:rPr>
        <w:t xml:space="preserve"> Prior </w:t>
      </w:r>
      <w:r w:rsidR="00571306">
        <w:rPr>
          <w:sz w:val="22"/>
          <w:szCs w:val="22"/>
        </w:rPr>
        <w:t>to finalising the document, the Trustees</w:t>
      </w:r>
      <w:r w:rsidRPr="003B10F3">
        <w:rPr>
          <w:sz w:val="22"/>
          <w:szCs w:val="22"/>
        </w:rPr>
        <w:t xml:space="preserve"> have consulted with the </w:t>
      </w:r>
      <w:r w:rsidR="00EE7D2B" w:rsidRPr="003B10F3">
        <w:rPr>
          <w:sz w:val="22"/>
          <w:szCs w:val="22"/>
        </w:rPr>
        <w:t xml:space="preserve">Scheme’s </w:t>
      </w:r>
      <w:r w:rsidR="007B39C5" w:rsidRPr="003B10F3">
        <w:rPr>
          <w:sz w:val="22"/>
          <w:szCs w:val="22"/>
        </w:rPr>
        <w:t xml:space="preserve">sponsoring </w:t>
      </w:r>
      <w:r w:rsidRPr="003B10F3">
        <w:rPr>
          <w:sz w:val="22"/>
          <w:szCs w:val="22"/>
        </w:rPr>
        <w:t>employer</w:t>
      </w:r>
      <w:r w:rsidR="00EE7D2B" w:rsidRPr="003B10F3">
        <w:rPr>
          <w:sz w:val="22"/>
          <w:szCs w:val="22"/>
        </w:rPr>
        <w:t xml:space="preserve">, </w:t>
      </w:r>
      <w:r w:rsidR="00EE7D2B">
        <w:rPr>
          <w:sz w:val="22"/>
          <w:szCs w:val="22"/>
        </w:rPr>
        <w:t>Pertwee Estates Limited</w:t>
      </w:r>
      <w:r w:rsidRPr="003B10F3">
        <w:rPr>
          <w:sz w:val="22"/>
          <w:szCs w:val="22"/>
        </w:rPr>
        <w:t xml:space="preserve">. </w:t>
      </w:r>
    </w:p>
    <w:p w14:paraId="0F1DD04E" w14:textId="77777777" w:rsidR="003B10F3" w:rsidRPr="003B10F3" w:rsidRDefault="003B10F3" w:rsidP="00CA2880">
      <w:pPr>
        <w:pStyle w:val="BodyText"/>
        <w:spacing w:after="0" w:line="240" w:lineRule="auto"/>
        <w:rPr>
          <w:sz w:val="22"/>
          <w:szCs w:val="22"/>
        </w:rPr>
      </w:pPr>
    </w:p>
    <w:p w14:paraId="05CD00A1" w14:textId="77777777" w:rsidR="009C14E4" w:rsidRDefault="009C14E4" w:rsidP="00CA2880">
      <w:pPr>
        <w:pStyle w:val="BodyText"/>
        <w:spacing w:after="0" w:line="240" w:lineRule="auto"/>
        <w:rPr>
          <w:sz w:val="22"/>
          <w:szCs w:val="22"/>
        </w:rPr>
      </w:pPr>
      <w:r w:rsidRPr="003B10F3">
        <w:rPr>
          <w:sz w:val="22"/>
          <w:szCs w:val="22"/>
        </w:rPr>
        <w:t xml:space="preserve">The Trustees </w:t>
      </w:r>
      <w:r w:rsidR="00EE7D2B">
        <w:rPr>
          <w:sz w:val="22"/>
          <w:szCs w:val="22"/>
        </w:rPr>
        <w:t xml:space="preserve">will </w:t>
      </w:r>
      <w:r w:rsidRPr="003B10F3">
        <w:rPr>
          <w:sz w:val="22"/>
          <w:szCs w:val="22"/>
        </w:rPr>
        <w:t>review this Statement on a</w:t>
      </w:r>
      <w:r w:rsidR="00C45D38" w:rsidRPr="003B10F3">
        <w:rPr>
          <w:sz w:val="22"/>
          <w:szCs w:val="22"/>
        </w:rPr>
        <w:t xml:space="preserve"> regular</w:t>
      </w:r>
      <w:r w:rsidRPr="003B10F3">
        <w:rPr>
          <w:sz w:val="22"/>
          <w:szCs w:val="22"/>
        </w:rPr>
        <w:t xml:space="preserve"> basis, and will also do so in response to any material changes to the investment arrangements</w:t>
      </w:r>
      <w:r w:rsidR="00C45D38" w:rsidRPr="003B10F3">
        <w:rPr>
          <w:sz w:val="22"/>
          <w:szCs w:val="22"/>
        </w:rPr>
        <w:t xml:space="preserve"> of the Scheme</w:t>
      </w:r>
      <w:r w:rsidRPr="003B10F3">
        <w:rPr>
          <w:sz w:val="22"/>
          <w:szCs w:val="22"/>
        </w:rPr>
        <w:t xml:space="preserve">. </w:t>
      </w:r>
      <w:r w:rsidR="00C45D38" w:rsidRPr="003B10F3">
        <w:rPr>
          <w:sz w:val="22"/>
          <w:szCs w:val="22"/>
        </w:rPr>
        <w:t>F</w:t>
      </w:r>
      <w:r w:rsidRPr="003B10F3">
        <w:rPr>
          <w:sz w:val="22"/>
          <w:szCs w:val="22"/>
        </w:rPr>
        <w:t>ormal reviews will be undertaken no less frequently than every 3 years to coincide with the Actuarial Valuation</w:t>
      </w:r>
      <w:r w:rsidR="00C45D38" w:rsidRPr="003B10F3">
        <w:rPr>
          <w:sz w:val="22"/>
          <w:szCs w:val="22"/>
        </w:rPr>
        <w:t>s</w:t>
      </w:r>
      <w:r w:rsidRPr="003B10F3">
        <w:rPr>
          <w:sz w:val="22"/>
          <w:szCs w:val="22"/>
        </w:rPr>
        <w:t>.  Any such review will be based on written expert investment advice and will be in consultation with the sponsoring employer</w:t>
      </w:r>
      <w:r w:rsidR="003F1627" w:rsidRPr="003B10F3">
        <w:rPr>
          <w:sz w:val="22"/>
          <w:szCs w:val="22"/>
        </w:rPr>
        <w:t>.</w:t>
      </w:r>
    </w:p>
    <w:p w14:paraId="249DCE1F" w14:textId="77777777" w:rsidR="00571306" w:rsidRDefault="00571306" w:rsidP="00CA2880">
      <w:pPr>
        <w:pStyle w:val="BodyText"/>
        <w:spacing w:after="0" w:line="240" w:lineRule="auto"/>
        <w:rPr>
          <w:sz w:val="22"/>
          <w:szCs w:val="22"/>
        </w:rPr>
      </w:pPr>
    </w:p>
    <w:p w14:paraId="54F9467D" w14:textId="77777777" w:rsidR="00571306" w:rsidRDefault="00571306" w:rsidP="00CA2880">
      <w:pPr>
        <w:pStyle w:val="BodyText"/>
        <w:spacing w:after="0" w:line="240" w:lineRule="auto"/>
        <w:rPr>
          <w:sz w:val="22"/>
          <w:szCs w:val="22"/>
        </w:rPr>
      </w:pPr>
      <w:r>
        <w:rPr>
          <w:sz w:val="22"/>
          <w:szCs w:val="22"/>
        </w:rPr>
        <w:t xml:space="preserve">The Trustees confirm that this SIP reflects the investment strategy they have implemented for the Scheme and acknowledge that it is their </w:t>
      </w:r>
      <w:r w:rsidR="00EE7D2B">
        <w:rPr>
          <w:sz w:val="22"/>
          <w:szCs w:val="22"/>
        </w:rPr>
        <w:t>responsibility, with guidance from their Advisers, to ensure that the assets of the Scheme are invested in accordance with these principles.</w:t>
      </w:r>
    </w:p>
    <w:p w14:paraId="7A121155" w14:textId="77777777" w:rsidR="00EE7D2B" w:rsidRDefault="00EE7D2B" w:rsidP="00CA2880">
      <w:pPr>
        <w:pStyle w:val="BodyText"/>
        <w:spacing w:after="0" w:line="240" w:lineRule="auto"/>
        <w:rPr>
          <w:sz w:val="22"/>
          <w:szCs w:val="22"/>
        </w:rPr>
      </w:pPr>
    </w:p>
    <w:p w14:paraId="222FE79C" w14:textId="1549F5A6" w:rsidR="00EE7D2B" w:rsidRPr="003B10F3" w:rsidRDefault="00EE7D2B" w:rsidP="00CA2880">
      <w:pPr>
        <w:pStyle w:val="BodyText"/>
        <w:spacing w:after="0" w:line="240" w:lineRule="auto"/>
        <w:rPr>
          <w:sz w:val="22"/>
          <w:szCs w:val="22"/>
        </w:rPr>
      </w:pPr>
      <w:r>
        <w:rPr>
          <w:sz w:val="22"/>
          <w:szCs w:val="22"/>
        </w:rPr>
        <w:t xml:space="preserve">This SIP comes into force on the date below and replaces the Scheme’s previous SIP dated </w:t>
      </w:r>
      <w:r w:rsidR="003852F4">
        <w:rPr>
          <w:sz w:val="22"/>
          <w:szCs w:val="22"/>
        </w:rPr>
        <w:t>September 2019</w:t>
      </w:r>
      <w:r>
        <w:rPr>
          <w:sz w:val="22"/>
          <w:szCs w:val="22"/>
        </w:rPr>
        <w:t>.</w:t>
      </w:r>
    </w:p>
    <w:p w14:paraId="22D51DB8" w14:textId="77777777" w:rsidR="009C14E4" w:rsidRPr="003B10F3" w:rsidRDefault="009C14E4" w:rsidP="00CA2880">
      <w:pPr>
        <w:spacing w:line="240" w:lineRule="auto"/>
        <w:rPr>
          <w:sz w:val="22"/>
          <w:szCs w:val="22"/>
        </w:rPr>
      </w:pPr>
    </w:p>
    <w:p w14:paraId="64E1F1B6" w14:textId="77777777" w:rsidR="000D16C7" w:rsidRDefault="000D16C7" w:rsidP="00CA2880">
      <w:pPr>
        <w:spacing w:line="240" w:lineRule="auto"/>
        <w:rPr>
          <w:b/>
          <w:bCs/>
          <w:sz w:val="22"/>
          <w:szCs w:val="22"/>
        </w:rPr>
      </w:pPr>
    </w:p>
    <w:p w14:paraId="4B02B31A" w14:textId="77777777" w:rsidR="000D16C7" w:rsidRDefault="000D16C7" w:rsidP="00CA2880">
      <w:pPr>
        <w:spacing w:line="240" w:lineRule="auto"/>
        <w:rPr>
          <w:b/>
          <w:bCs/>
          <w:sz w:val="22"/>
          <w:szCs w:val="22"/>
        </w:rPr>
      </w:pPr>
    </w:p>
    <w:p w14:paraId="419DBA12" w14:textId="77777777" w:rsidR="000D16C7" w:rsidRDefault="000D16C7" w:rsidP="00CA2880">
      <w:pPr>
        <w:spacing w:line="240" w:lineRule="auto"/>
        <w:rPr>
          <w:b/>
          <w:bCs/>
          <w:sz w:val="22"/>
          <w:szCs w:val="22"/>
        </w:rPr>
      </w:pPr>
    </w:p>
    <w:p w14:paraId="5AF82545" w14:textId="77777777" w:rsidR="009C14E4" w:rsidRPr="003B10F3" w:rsidRDefault="009C14E4" w:rsidP="00CA2880">
      <w:pPr>
        <w:spacing w:line="240" w:lineRule="auto"/>
        <w:rPr>
          <w:b/>
          <w:bCs/>
          <w:sz w:val="22"/>
          <w:szCs w:val="22"/>
        </w:rPr>
      </w:pPr>
      <w:r w:rsidRPr="003B10F3">
        <w:rPr>
          <w:b/>
          <w:bCs/>
          <w:sz w:val="22"/>
          <w:szCs w:val="22"/>
        </w:rPr>
        <w:t xml:space="preserve">Signed for and on behalf of The Trustees of the </w:t>
      </w:r>
      <w:r w:rsidR="00545206">
        <w:rPr>
          <w:b/>
          <w:bCs/>
          <w:sz w:val="22"/>
          <w:szCs w:val="22"/>
        </w:rPr>
        <w:t>Pertwee Estates Limited Retirement Benefits Scheme</w:t>
      </w:r>
      <w:r w:rsidRPr="003B10F3">
        <w:rPr>
          <w:b/>
          <w:bCs/>
          <w:sz w:val="22"/>
          <w:szCs w:val="22"/>
        </w:rPr>
        <w:t xml:space="preserve"> </w:t>
      </w:r>
    </w:p>
    <w:p w14:paraId="7CBAB502" w14:textId="77777777" w:rsidR="009C14E4" w:rsidRDefault="009C14E4" w:rsidP="00CA2880">
      <w:pPr>
        <w:spacing w:line="240" w:lineRule="auto"/>
      </w:pPr>
    </w:p>
    <w:p w14:paraId="21BF11FA" w14:textId="77777777" w:rsidR="009C14E4" w:rsidRDefault="009C14E4" w:rsidP="00CA2880">
      <w:pPr>
        <w:spacing w:line="240" w:lineRule="auto"/>
      </w:pPr>
    </w:p>
    <w:p w14:paraId="3A216E3A" w14:textId="77777777" w:rsidR="000B1E11" w:rsidRDefault="000B1E11" w:rsidP="00CA2880">
      <w:pPr>
        <w:spacing w:line="240" w:lineRule="auto"/>
      </w:pPr>
    </w:p>
    <w:p w14:paraId="2F8E68B5" w14:textId="06C91670" w:rsidR="009C14E4" w:rsidRPr="00355011" w:rsidRDefault="009C14E4" w:rsidP="00CA2880">
      <w:pPr>
        <w:spacing w:line="240" w:lineRule="auto"/>
        <w:rPr>
          <w:sz w:val="22"/>
        </w:rPr>
      </w:pPr>
      <w:r w:rsidRPr="00355011">
        <w:rPr>
          <w:sz w:val="22"/>
        </w:rPr>
        <w:t>Signed:</w:t>
      </w:r>
      <w:r w:rsidR="00403E09">
        <w:rPr>
          <w:sz w:val="22"/>
        </w:rPr>
        <w:tab/>
      </w:r>
      <w:r w:rsidR="00726E40">
        <w:rPr>
          <w:sz w:val="22"/>
        </w:rPr>
        <w:t>R A Holmes</w:t>
      </w:r>
      <w:r w:rsidR="00403E09">
        <w:rPr>
          <w:sz w:val="22"/>
        </w:rPr>
        <w:tab/>
      </w:r>
      <w:r w:rsidR="00403E09">
        <w:rPr>
          <w:sz w:val="22"/>
        </w:rPr>
        <w:tab/>
      </w:r>
      <w:r w:rsidR="00403E09">
        <w:rPr>
          <w:sz w:val="22"/>
        </w:rPr>
        <w:tab/>
      </w:r>
      <w:r w:rsidRPr="00355011">
        <w:rPr>
          <w:sz w:val="22"/>
        </w:rPr>
        <w:t xml:space="preserve">    </w:t>
      </w:r>
      <w:r w:rsidR="00355011">
        <w:rPr>
          <w:sz w:val="22"/>
        </w:rPr>
        <w:t xml:space="preserve"> Date:</w:t>
      </w:r>
      <w:r w:rsidR="00403E09">
        <w:rPr>
          <w:sz w:val="22"/>
        </w:rPr>
        <w:t xml:space="preserve"> </w:t>
      </w:r>
      <w:r w:rsidR="00403E09">
        <w:rPr>
          <w:sz w:val="22"/>
        </w:rPr>
        <w:tab/>
      </w:r>
      <w:r w:rsidR="003852F4">
        <w:rPr>
          <w:sz w:val="22"/>
        </w:rPr>
        <w:t xml:space="preserve">23 </w:t>
      </w:r>
      <w:r w:rsidR="00403E09">
        <w:rPr>
          <w:sz w:val="22"/>
        </w:rPr>
        <w:t xml:space="preserve">September </w:t>
      </w:r>
      <w:r w:rsidR="003852F4">
        <w:rPr>
          <w:sz w:val="22"/>
        </w:rPr>
        <w:t>2020</w:t>
      </w:r>
    </w:p>
    <w:p w14:paraId="0553C618" w14:textId="77777777" w:rsidR="009C14E4" w:rsidRDefault="009C14E4" w:rsidP="00CA2880">
      <w:pPr>
        <w:spacing w:line="240" w:lineRule="auto"/>
      </w:pPr>
    </w:p>
    <w:p w14:paraId="79E32E21" w14:textId="77777777" w:rsidR="000D16C7" w:rsidRDefault="000D16C7" w:rsidP="00CA2880">
      <w:pPr>
        <w:spacing w:line="240" w:lineRule="auto"/>
      </w:pPr>
    </w:p>
    <w:p w14:paraId="1B6D96A9" w14:textId="77777777" w:rsidR="000D16C7" w:rsidRDefault="000D16C7" w:rsidP="00CA2880">
      <w:pPr>
        <w:spacing w:line="240" w:lineRule="auto"/>
      </w:pPr>
    </w:p>
    <w:p w14:paraId="56398FCF" w14:textId="31DEF3A8" w:rsidR="000D16C7" w:rsidRPr="00355011" w:rsidRDefault="000D16C7" w:rsidP="000D16C7">
      <w:pPr>
        <w:spacing w:line="240" w:lineRule="auto"/>
        <w:rPr>
          <w:sz w:val="22"/>
        </w:rPr>
      </w:pPr>
      <w:r w:rsidRPr="00355011">
        <w:rPr>
          <w:sz w:val="22"/>
        </w:rPr>
        <w:t>Signed:</w:t>
      </w:r>
      <w:r w:rsidR="00403E09">
        <w:rPr>
          <w:sz w:val="22"/>
        </w:rPr>
        <w:tab/>
      </w:r>
      <w:r w:rsidR="00726E40">
        <w:rPr>
          <w:sz w:val="22"/>
        </w:rPr>
        <w:t>M F Pertwee</w:t>
      </w:r>
      <w:r w:rsidR="00622A18">
        <w:rPr>
          <w:sz w:val="22"/>
        </w:rPr>
        <w:tab/>
      </w:r>
      <w:r w:rsidR="00403E09">
        <w:rPr>
          <w:sz w:val="22"/>
        </w:rPr>
        <w:tab/>
      </w:r>
      <w:r w:rsidR="00403E09">
        <w:rPr>
          <w:sz w:val="22"/>
        </w:rPr>
        <w:tab/>
      </w:r>
      <w:r w:rsidRPr="00355011">
        <w:rPr>
          <w:sz w:val="22"/>
        </w:rPr>
        <w:t xml:space="preserve">    </w:t>
      </w:r>
      <w:r>
        <w:rPr>
          <w:sz w:val="22"/>
        </w:rPr>
        <w:t xml:space="preserve"> Date</w:t>
      </w:r>
      <w:r w:rsidR="00403E09">
        <w:rPr>
          <w:sz w:val="22"/>
        </w:rPr>
        <w:t xml:space="preserve">: </w:t>
      </w:r>
      <w:r w:rsidR="00403E09">
        <w:rPr>
          <w:sz w:val="22"/>
        </w:rPr>
        <w:tab/>
      </w:r>
      <w:r w:rsidR="003852F4">
        <w:rPr>
          <w:sz w:val="22"/>
        </w:rPr>
        <w:t xml:space="preserve">23 </w:t>
      </w:r>
      <w:r w:rsidR="00403E09">
        <w:rPr>
          <w:sz w:val="22"/>
        </w:rPr>
        <w:t xml:space="preserve">September </w:t>
      </w:r>
      <w:r w:rsidR="003852F4">
        <w:rPr>
          <w:sz w:val="22"/>
        </w:rPr>
        <w:t>2020</w:t>
      </w:r>
    </w:p>
    <w:p w14:paraId="794EDDCC" w14:textId="77777777" w:rsidR="000D16C7" w:rsidRDefault="000D16C7" w:rsidP="000D16C7">
      <w:pPr>
        <w:spacing w:line="240" w:lineRule="auto"/>
      </w:pPr>
    </w:p>
    <w:p w14:paraId="619FE700" w14:textId="77777777" w:rsidR="000B1E11" w:rsidRDefault="000B1E11"/>
    <w:p w14:paraId="4E6DC9A2" w14:textId="77777777" w:rsidR="009C14E4" w:rsidRDefault="009C14E4"/>
    <w:p w14:paraId="64DD3580" w14:textId="77777777" w:rsidR="009C14E4" w:rsidRDefault="009C14E4" w:rsidP="00CA2880">
      <w:pPr>
        <w:pStyle w:val="Heading1"/>
        <w:spacing w:before="0" w:after="0" w:line="240" w:lineRule="auto"/>
        <w:rPr>
          <w:color w:val="auto"/>
        </w:rPr>
      </w:pPr>
      <w:r>
        <w:br w:type="page"/>
      </w:r>
      <w:bookmarkStart w:id="1" w:name="_Toc192580099"/>
      <w:r w:rsidRPr="003E06DD">
        <w:rPr>
          <w:color w:val="auto"/>
        </w:rPr>
        <w:lastRenderedPageBreak/>
        <w:t xml:space="preserve">2. </w:t>
      </w:r>
      <w:r w:rsidR="00EE7D2B">
        <w:rPr>
          <w:color w:val="auto"/>
        </w:rPr>
        <w:t xml:space="preserve">Scheme Governance and </w:t>
      </w:r>
      <w:r w:rsidRPr="003E06DD">
        <w:rPr>
          <w:color w:val="auto"/>
        </w:rPr>
        <w:t>Decision Making</w:t>
      </w:r>
      <w:bookmarkEnd w:id="1"/>
    </w:p>
    <w:p w14:paraId="155A4DB0" w14:textId="77777777" w:rsidR="007E23E9" w:rsidRPr="00CA2880" w:rsidRDefault="007E23E9" w:rsidP="00CA2880">
      <w:pPr>
        <w:rPr>
          <w:sz w:val="36"/>
        </w:rPr>
      </w:pPr>
    </w:p>
    <w:p w14:paraId="446318C7" w14:textId="77777777" w:rsidR="00EE7D2B" w:rsidRDefault="00EE7D2B" w:rsidP="00CA2880">
      <w:pPr>
        <w:pStyle w:val="BodyText"/>
        <w:spacing w:after="0" w:line="240" w:lineRule="auto"/>
        <w:rPr>
          <w:sz w:val="22"/>
          <w:szCs w:val="22"/>
        </w:rPr>
      </w:pPr>
      <w:r>
        <w:rPr>
          <w:sz w:val="22"/>
          <w:szCs w:val="22"/>
        </w:rPr>
        <w:t>The Trustees are responsible for the governance and investment of the Scheme’s assets within a framework agreed with the sponsoring employer to the exten</w:t>
      </w:r>
      <w:r w:rsidR="000D16C7">
        <w:rPr>
          <w:sz w:val="22"/>
          <w:szCs w:val="22"/>
        </w:rPr>
        <w:t>t</w:t>
      </w:r>
      <w:r>
        <w:rPr>
          <w:sz w:val="22"/>
          <w:szCs w:val="22"/>
        </w:rPr>
        <w:t xml:space="preserve"> required by the Scheme’s Trust Deed and Rules. The Trustees consider that the governance structure set out in this SIP is appropriate for the Scheme as it allows the Trustees to make the important decisions on investment policy, while delegating day-to-day aspects to the </w:t>
      </w:r>
      <w:r w:rsidR="00E67823">
        <w:rPr>
          <w:sz w:val="22"/>
          <w:szCs w:val="22"/>
        </w:rPr>
        <w:t>I</w:t>
      </w:r>
      <w:r>
        <w:rPr>
          <w:sz w:val="22"/>
          <w:szCs w:val="22"/>
        </w:rPr>
        <w:t xml:space="preserve">nvestment </w:t>
      </w:r>
      <w:r w:rsidR="00E67823">
        <w:rPr>
          <w:sz w:val="22"/>
          <w:szCs w:val="22"/>
        </w:rPr>
        <w:t>M</w:t>
      </w:r>
      <w:r>
        <w:rPr>
          <w:sz w:val="22"/>
          <w:szCs w:val="22"/>
        </w:rPr>
        <w:t xml:space="preserve">anagers or </w:t>
      </w:r>
      <w:r w:rsidR="00E67823">
        <w:rPr>
          <w:sz w:val="22"/>
          <w:szCs w:val="22"/>
        </w:rPr>
        <w:t>I</w:t>
      </w:r>
      <w:r>
        <w:rPr>
          <w:sz w:val="22"/>
          <w:szCs w:val="22"/>
        </w:rPr>
        <w:t xml:space="preserve">nvestment </w:t>
      </w:r>
      <w:r w:rsidR="00E67823">
        <w:rPr>
          <w:sz w:val="22"/>
          <w:szCs w:val="22"/>
        </w:rPr>
        <w:t>A</w:t>
      </w:r>
      <w:r>
        <w:rPr>
          <w:sz w:val="22"/>
          <w:szCs w:val="22"/>
        </w:rPr>
        <w:t>dviser as appropriate.</w:t>
      </w:r>
    </w:p>
    <w:p w14:paraId="28BA5AD8" w14:textId="77777777" w:rsidR="00EE7D2B" w:rsidRDefault="00EE7D2B" w:rsidP="00CA2880">
      <w:pPr>
        <w:pStyle w:val="BodyText"/>
        <w:spacing w:after="0" w:line="240" w:lineRule="auto"/>
        <w:rPr>
          <w:sz w:val="22"/>
          <w:szCs w:val="22"/>
        </w:rPr>
      </w:pPr>
    </w:p>
    <w:p w14:paraId="103BCE10" w14:textId="77777777" w:rsidR="009C14E4" w:rsidRDefault="009C14E4" w:rsidP="00CA2880">
      <w:pPr>
        <w:pStyle w:val="BodyText"/>
        <w:spacing w:after="0" w:line="240" w:lineRule="auto"/>
        <w:rPr>
          <w:sz w:val="22"/>
          <w:szCs w:val="22"/>
        </w:rPr>
      </w:pPr>
      <w:r w:rsidRPr="003B10F3">
        <w:rPr>
          <w:sz w:val="22"/>
          <w:szCs w:val="22"/>
        </w:rPr>
        <w:t>The Trustees distinguish between two types of investment decision:</w:t>
      </w:r>
    </w:p>
    <w:p w14:paraId="615CFB20" w14:textId="77777777" w:rsidR="003B10F3" w:rsidRPr="003B10F3" w:rsidRDefault="003B10F3" w:rsidP="00CA2880">
      <w:pPr>
        <w:pStyle w:val="BodyText"/>
        <w:spacing w:after="0" w:line="240" w:lineRule="auto"/>
        <w:rPr>
          <w:sz w:val="22"/>
          <w:szCs w:val="22"/>
        </w:rPr>
      </w:pPr>
    </w:p>
    <w:p w14:paraId="471AE71F" w14:textId="77777777" w:rsidR="009C14E4" w:rsidRDefault="009C14E4" w:rsidP="002C66C8">
      <w:pPr>
        <w:pStyle w:val="Heading3"/>
      </w:pPr>
      <w:r w:rsidRPr="003B10F3">
        <w:t>Strategic investment decisions</w:t>
      </w:r>
    </w:p>
    <w:p w14:paraId="6E216AB3" w14:textId="77777777" w:rsidR="003B10F3" w:rsidRPr="003B10F3" w:rsidRDefault="003B10F3" w:rsidP="00CA2880">
      <w:pPr>
        <w:spacing w:line="240" w:lineRule="auto"/>
      </w:pPr>
    </w:p>
    <w:p w14:paraId="13073816" w14:textId="77777777" w:rsidR="009C14E4" w:rsidRDefault="009C14E4" w:rsidP="007E23E9">
      <w:pPr>
        <w:pStyle w:val="BodyText"/>
        <w:spacing w:after="0" w:line="240" w:lineRule="auto"/>
        <w:rPr>
          <w:sz w:val="22"/>
          <w:szCs w:val="22"/>
        </w:rPr>
      </w:pPr>
      <w:r w:rsidRPr="003B10F3">
        <w:rPr>
          <w:sz w:val="22"/>
          <w:szCs w:val="22"/>
        </w:rPr>
        <w:t>These decisions are long-term in nature, and driven by an understanding of the objectives, needs and liabilities of the Scheme.</w:t>
      </w:r>
    </w:p>
    <w:p w14:paraId="16FF5C91" w14:textId="77777777" w:rsidR="003B10F3" w:rsidRPr="003B10F3" w:rsidRDefault="003B10F3" w:rsidP="00CA2880">
      <w:pPr>
        <w:pStyle w:val="BodyText"/>
        <w:spacing w:after="0" w:line="240" w:lineRule="auto"/>
        <w:rPr>
          <w:sz w:val="22"/>
          <w:szCs w:val="22"/>
        </w:rPr>
      </w:pPr>
    </w:p>
    <w:p w14:paraId="5D8EDF78" w14:textId="77777777" w:rsidR="006D00F0" w:rsidRPr="003B10F3" w:rsidRDefault="009C14E4" w:rsidP="00CA2880">
      <w:pPr>
        <w:pStyle w:val="BodyText"/>
        <w:spacing w:after="0" w:line="240" w:lineRule="auto"/>
        <w:rPr>
          <w:sz w:val="22"/>
          <w:szCs w:val="22"/>
        </w:rPr>
      </w:pPr>
      <w:r w:rsidRPr="003B10F3">
        <w:rPr>
          <w:sz w:val="22"/>
          <w:szCs w:val="22"/>
        </w:rPr>
        <w:t xml:space="preserve">The Trustees take all such decisions themselves.  Where appropriate this is after receiving written advice from their </w:t>
      </w:r>
      <w:r w:rsidR="00E67823">
        <w:rPr>
          <w:sz w:val="22"/>
          <w:szCs w:val="22"/>
        </w:rPr>
        <w:t>I</w:t>
      </w:r>
      <w:r w:rsidRPr="003B10F3">
        <w:rPr>
          <w:sz w:val="22"/>
          <w:szCs w:val="22"/>
        </w:rPr>
        <w:t xml:space="preserve">nvestment </w:t>
      </w:r>
      <w:r w:rsidR="00E67823">
        <w:rPr>
          <w:sz w:val="22"/>
          <w:szCs w:val="22"/>
        </w:rPr>
        <w:t>A</w:t>
      </w:r>
      <w:r w:rsidR="000D16C7">
        <w:rPr>
          <w:sz w:val="22"/>
          <w:szCs w:val="22"/>
        </w:rPr>
        <w:t>dviser</w:t>
      </w:r>
      <w:r w:rsidRPr="003B10F3">
        <w:rPr>
          <w:sz w:val="22"/>
          <w:szCs w:val="22"/>
        </w:rPr>
        <w:t>, and consulting</w:t>
      </w:r>
      <w:r w:rsidR="007B39C5" w:rsidRPr="003B10F3">
        <w:rPr>
          <w:sz w:val="22"/>
          <w:szCs w:val="22"/>
        </w:rPr>
        <w:t>, as appropriate,</w:t>
      </w:r>
      <w:r w:rsidRPr="003B10F3">
        <w:rPr>
          <w:sz w:val="22"/>
          <w:szCs w:val="22"/>
        </w:rPr>
        <w:t xml:space="preserve"> with the </w:t>
      </w:r>
      <w:r w:rsidR="000D16C7">
        <w:rPr>
          <w:sz w:val="22"/>
          <w:szCs w:val="22"/>
        </w:rPr>
        <w:t xml:space="preserve">Scheme Actuary and/or sponsoring </w:t>
      </w:r>
      <w:r w:rsidRPr="003B10F3">
        <w:rPr>
          <w:sz w:val="22"/>
          <w:szCs w:val="22"/>
        </w:rPr>
        <w:t xml:space="preserve">employer. </w:t>
      </w:r>
    </w:p>
    <w:p w14:paraId="4D1FF2A8" w14:textId="77777777" w:rsidR="006D00F0" w:rsidRPr="003B10F3" w:rsidRDefault="006D00F0" w:rsidP="00CA2880">
      <w:pPr>
        <w:pStyle w:val="BodyText"/>
        <w:spacing w:after="0" w:line="240" w:lineRule="auto"/>
        <w:rPr>
          <w:sz w:val="22"/>
          <w:szCs w:val="22"/>
        </w:rPr>
      </w:pPr>
    </w:p>
    <w:p w14:paraId="5DACFEBB" w14:textId="77777777" w:rsidR="009C14E4" w:rsidRPr="003B10F3" w:rsidRDefault="009C14E4" w:rsidP="00CA2880">
      <w:pPr>
        <w:pStyle w:val="BodyText"/>
        <w:spacing w:after="0" w:line="240" w:lineRule="auto"/>
        <w:rPr>
          <w:sz w:val="22"/>
          <w:szCs w:val="22"/>
        </w:rPr>
      </w:pPr>
      <w:r w:rsidRPr="003B10F3">
        <w:rPr>
          <w:sz w:val="22"/>
          <w:szCs w:val="22"/>
        </w:rPr>
        <w:t>Examples of such decisions include:</w:t>
      </w:r>
    </w:p>
    <w:p w14:paraId="50B534C2" w14:textId="77777777" w:rsidR="009C14E4" w:rsidRPr="003B10F3" w:rsidRDefault="009C14E4" w:rsidP="00CA2880">
      <w:pPr>
        <w:pStyle w:val="ListBullet"/>
        <w:numPr>
          <w:ilvl w:val="0"/>
          <w:numId w:val="22"/>
        </w:numPr>
        <w:rPr>
          <w:sz w:val="22"/>
          <w:szCs w:val="22"/>
        </w:rPr>
      </w:pPr>
      <w:r w:rsidRPr="003B10F3">
        <w:rPr>
          <w:sz w:val="22"/>
          <w:szCs w:val="22"/>
        </w:rPr>
        <w:t>setting investment objectives;</w:t>
      </w:r>
    </w:p>
    <w:p w14:paraId="52B5D4BC" w14:textId="596E50B7" w:rsidR="009C14E4" w:rsidRPr="003B10F3" w:rsidRDefault="009C14E4" w:rsidP="00CA2880">
      <w:pPr>
        <w:pStyle w:val="ListBullet"/>
        <w:numPr>
          <w:ilvl w:val="0"/>
          <w:numId w:val="22"/>
        </w:numPr>
        <w:rPr>
          <w:sz w:val="22"/>
          <w:szCs w:val="22"/>
        </w:rPr>
      </w:pPr>
      <w:r w:rsidRPr="003B10F3">
        <w:rPr>
          <w:sz w:val="22"/>
          <w:szCs w:val="22"/>
        </w:rPr>
        <w:t xml:space="preserve">setting </w:t>
      </w:r>
      <w:r w:rsidR="0062527A">
        <w:rPr>
          <w:sz w:val="22"/>
          <w:szCs w:val="22"/>
        </w:rPr>
        <w:t xml:space="preserve">the </w:t>
      </w:r>
      <w:r w:rsidRPr="003B10F3">
        <w:rPr>
          <w:sz w:val="22"/>
          <w:szCs w:val="22"/>
        </w:rPr>
        <w:t>strategic asset allocation;</w:t>
      </w:r>
    </w:p>
    <w:p w14:paraId="24AF1D78" w14:textId="27B1AF7C" w:rsidR="009C14E4" w:rsidRPr="003B10F3" w:rsidRDefault="009C14E4" w:rsidP="003852F4">
      <w:pPr>
        <w:pStyle w:val="ListBullet"/>
        <w:numPr>
          <w:ilvl w:val="0"/>
          <w:numId w:val="22"/>
        </w:numPr>
        <w:rPr>
          <w:sz w:val="22"/>
          <w:szCs w:val="22"/>
        </w:rPr>
      </w:pPr>
      <w:r w:rsidRPr="003B10F3">
        <w:rPr>
          <w:sz w:val="22"/>
          <w:szCs w:val="22"/>
        </w:rPr>
        <w:t>drafting the Statement of Investment Principles; and</w:t>
      </w:r>
    </w:p>
    <w:p w14:paraId="6D0A5105" w14:textId="05CEFF3E" w:rsidR="009C14E4" w:rsidRPr="003B10F3" w:rsidRDefault="00E67823" w:rsidP="003852F4">
      <w:pPr>
        <w:pStyle w:val="ListBullet"/>
        <w:numPr>
          <w:ilvl w:val="0"/>
          <w:numId w:val="22"/>
        </w:numPr>
        <w:rPr>
          <w:sz w:val="22"/>
          <w:szCs w:val="22"/>
        </w:rPr>
      </w:pPr>
      <w:r>
        <w:rPr>
          <w:sz w:val="22"/>
          <w:szCs w:val="22"/>
        </w:rPr>
        <w:t>increasing or decreasing investments in specific funds</w:t>
      </w:r>
      <w:r w:rsidR="009C14E4" w:rsidRPr="003B10F3">
        <w:rPr>
          <w:sz w:val="22"/>
          <w:szCs w:val="22"/>
        </w:rPr>
        <w:t>.</w:t>
      </w:r>
    </w:p>
    <w:p w14:paraId="3FD31125" w14:textId="77777777" w:rsidR="006D00F0" w:rsidRPr="003B10F3" w:rsidRDefault="006D00F0" w:rsidP="00CA2880">
      <w:pPr>
        <w:pStyle w:val="ListBullet"/>
        <w:rPr>
          <w:sz w:val="22"/>
          <w:szCs w:val="22"/>
        </w:rPr>
      </w:pPr>
    </w:p>
    <w:p w14:paraId="1F459AAD" w14:textId="77777777" w:rsidR="009C14E4" w:rsidRDefault="009C14E4" w:rsidP="002C66C8">
      <w:pPr>
        <w:pStyle w:val="Heading3"/>
      </w:pPr>
      <w:r w:rsidRPr="003B10F3">
        <w:t xml:space="preserve">Tactical investment decisions  </w:t>
      </w:r>
    </w:p>
    <w:p w14:paraId="4C4B9758" w14:textId="77777777" w:rsidR="003B10F3" w:rsidRPr="003B10F3" w:rsidRDefault="003B10F3" w:rsidP="00CA2880">
      <w:pPr>
        <w:spacing w:line="240" w:lineRule="auto"/>
      </w:pPr>
    </w:p>
    <w:p w14:paraId="0AF9E32A" w14:textId="77777777" w:rsidR="009C14E4" w:rsidRPr="003B10F3" w:rsidRDefault="009C14E4" w:rsidP="007E23E9">
      <w:pPr>
        <w:pStyle w:val="BodyText"/>
        <w:spacing w:after="0" w:line="240" w:lineRule="auto"/>
        <w:rPr>
          <w:sz w:val="22"/>
          <w:szCs w:val="22"/>
        </w:rPr>
      </w:pPr>
      <w:r w:rsidRPr="003B10F3">
        <w:rPr>
          <w:sz w:val="22"/>
          <w:szCs w:val="22"/>
        </w:rPr>
        <w:t>T</w:t>
      </w:r>
      <w:r w:rsidR="00BE44F5" w:rsidRPr="003B10F3">
        <w:rPr>
          <w:sz w:val="22"/>
          <w:szCs w:val="22"/>
        </w:rPr>
        <w:t>actical investment</w:t>
      </w:r>
      <w:r w:rsidRPr="003B10F3">
        <w:rPr>
          <w:sz w:val="22"/>
          <w:szCs w:val="22"/>
        </w:rPr>
        <w:t xml:space="preserve"> decisions are based on views of future market movements.</w:t>
      </w:r>
    </w:p>
    <w:p w14:paraId="2F8C6DB8" w14:textId="77777777" w:rsidR="009C14E4" w:rsidRDefault="009C14E4" w:rsidP="00CA2880">
      <w:pPr>
        <w:pStyle w:val="BodyText"/>
        <w:spacing w:after="0" w:line="240" w:lineRule="auto"/>
        <w:rPr>
          <w:sz w:val="22"/>
          <w:szCs w:val="22"/>
        </w:rPr>
      </w:pPr>
      <w:r w:rsidRPr="003B10F3">
        <w:rPr>
          <w:sz w:val="22"/>
          <w:szCs w:val="22"/>
        </w:rPr>
        <w:t xml:space="preserve">The Trustees </w:t>
      </w:r>
      <w:r w:rsidR="00BE44F5" w:rsidRPr="003B10F3">
        <w:rPr>
          <w:sz w:val="22"/>
          <w:szCs w:val="22"/>
        </w:rPr>
        <w:t>employ</w:t>
      </w:r>
      <w:r w:rsidRPr="003B10F3">
        <w:rPr>
          <w:sz w:val="22"/>
          <w:szCs w:val="22"/>
        </w:rPr>
        <w:t xml:space="preserve"> </w:t>
      </w:r>
      <w:r w:rsidR="00E67823">
        <w:rPr>
          <w:sz w:val="22"/>
          <w:szCs w:val="22"/>
        </w:rPr>
        <w:t xml:space="preserve">St James’s Place Wealth Management and through them, </w:t>
      </w:r>
      <w:r w:rsidRPr="003B10F3">
        <w:rPr>
          <w:sz w:val="22"/>
          <w:szCs w:val="22"/>
        </w:rPr>
        <w:t>fund managers</w:t>
      </w:r>
      <w:r w:rsidR="00BE44F5" w:rsidRPr="003B10F3">
        <w:rPr>
          <w:sz w:val="22"/>
          <w:szCs w:val="22"/>
        </w:rPr>
        <w:t xml:space="preserve"> to make such judgements</w:t>
      </w:r>
      <w:r w:rsidRPr="003B10F3">
        <w:rPr>
          <w:sz w:val="22"/>
          <w:szCs w:val="22"/>
        </w:rPr>
        <w:t xml:space="preserve">, and do not interfere with their decisions. </w:t>
      </w:r>
      <w:r w:rsidR="00BE44F5" w:rsidRPr="003B10F3">
        <w:rPr>
          <w:sz w:val="22"/>
          <w:szCs w:val="22"/>
        </w:rPr>
        <w:t xml:space="preserve"> </w:t>
      </w:r>
      <w:r w:rsidRPr="003B10F3">
        <w:rPr>
          <w:sz w:val="22"/>
          <w:szCs w:val="22"/>
        </w:rPr>
        <w:t>Examples of such decisions include:</w:t>
      </w:r>
    </w:p>
    <w:p w14:paraId="3959ECCF" w14:textId="77777777" w:rsidR="009C14E4" w:rsidRDefault="009C14E4" w:rsidP="00CA2880">
      <w:pPr>
        <w:pStyle w:val="ListBullet"/>
        <w:numPr>
          <w:ilvl w:val="0"/>
          <w:numId w:val="23"/>
        </w:numPr>
        <w:rPr>
          <w:sz w:val="22"/>
          <w:szCs w:val="22"/>
        </w:rPr>
      </w:pPr>
      <w:r w:rsidRPr="003B10F3">
        <w:rPr>
          <w:sz w:val="22"/>
          <w:szCs w:val="22"/>
        </w:rPr>
        <w:t>selecting individual stocks;</w:t>
      </w:r>
    </w:p>
    <w:p w14:paraId="49DE872F" w14:textId="77777777" w:rsidR="00E67823" w:rsidRPr="003B10F3" w:rsidRDefault="00E67823" w:rsidP="00CA2880">
      <w:pPr>
        <w:pStyle w:val="ListBullet"/>
        <w:numPr>
          <w:ilvl w:val="0"/>
          <w:numId w:val="23"/>
        </w:numPr>
        <w:rPr>
          <w:sz w:val="22"/>
          <w:szCs w:val="22"/>
        </w:rPr>
      </w:pPr>
      <w:r>
        <w:rPr>
          <w:sz w:val="22"/>
          <w:szCs w:val="22"/>
        </w:rPr>
        <w:t>appointing or removing specific managers within funds;</w:t>
      </w:r>
    </w:p>
    <w:p w14:paraId="78F4E293" w14:textId="77777777" w:rsidR="009C14E4" w:rsidRPr="003B10F3" w:rsidRDefault="009C14E4" w:rsidP="00CA2880">
      <w:pPr>
        <w:pStyle w:val="ListBullet"/>
        <w:numPr>
          <w:ilvl w:val="0"/>
          <w:numId w:val="23"/>
        </w:numPr>
        <w:rPr>
          <w:sz w:val="22"/>
          <w:szCs w:val="22"/>
        </w:rPr>
      </w:pPr>
      <w:r w:rsidRPr="003B10F3">
        <w:rPr>
          <w:sz w:val="22"/>
          <w:szCs w:val="22"/>
        </w:rPr>
        <w:t>temporarily deviating from the strategic asset allocation to take advantage of better market opportunities; and</w:t>
      </w:r>
    </w:p>
    <w:p w14:paraId="65A50CB3" w14:textId="77777777" w:rsidR="009C14E4" w:rsidRPr="003B10F3" w:rsidRDefault="009C14E4" w:rsidP="00CA2880">
      <w:pPr>
        <w:pStyle w:val="ListBullet"/>
        <w:numPr>
          <w:ilvl w:val="0"/>
          <w:numId w:val="23"/>
        </w:numPr>
        <w:rPr>
          <w:sz w:val="22"/>
          <w:szCs w:val="22"/>
        </w:rPr>
      </w:pPr>
      <w:r w:rsidRPr="003B10F3">
        <w:rPr>
          <w:sz w:val="22"/>
          <w:szCs w:val="22"/>
        </w:rPr>
        <w:t>timing of entry or exit from a market.</w:t>
      </w:r>
    </w:p>
    <w:p w14:paraId="07E50D11" w14:textId="77777777" w:rsidR="006D00F0" w:rsidRPr="003B10F3" w:rsidRDefault="006D00F0" w:rsidP="00CA2880">
      <w:pPr>
        <w:pStyle w:val="ListBullet"/>
        <w:ind w:left="360"/>
        <w:rPr>
          <w:sz w:val="22"/>
          <w:szCs w:val="22"/>
        </w:rPr>
      </w:pPr>
    </w:p>
    <w:p w14:paraId="7932F713" w14:textId="77777777" w:rsidR="009C14E4" w:rsidRDefault="007E23E9" w:rsidP="00CA2880">
      <w:pPr>
        <w:pStyle w:val="Heading1"/>
        <w:spacing w:before="0" w:after="0" w:line="240" w:lineRule="auto"/>
        <w:rPr>
          <w:color w:val="auto"/>
        </w:rPr>
      </w:pPr>
      <w:bookmarkStart w:id="2" w:name="_Toc192580100"/>
      <w:r>
        <w:rPr>
          <w:sz w:val="22"/>
          <w:szCs w:val="22"/>
        </w:rPr>
        <w:br w:type="page"/>
      </w:r>
      <w:r w:rsidR="009C14E4" w:rsidRPr="003E06DD">
        <w:rPr>
          <w:color w:val="auto"/>
        </w:rPr>
        <w:lastRenderedPageBreak/>
        <w:t>3. Investment Objectives</w:t>
      </w:r>
      <w:bookmarkEnd w:id="2"/>
      <w:r w:rsidR="00911D2E">
        <w:rPr>
          <w:color w:val="auto"/>
        </w:rPr>
        <w:t xml:space="preserve"> and Strategy</w:t>
      </w:r>
    </w:p>
    <w:p w14:paraId="333D930F" w14:textId="77777777" w:rsidR="007E23E9" w:rsidRPr="00CA2880" w:rsidRDefault="007E23E9" w:rsidP="00CA2880">
      <w:pPr>
        <w:rPr>
          <w:sz w:val="36"/>
        </w:rPr>
      </w:pPr>
    </w:p>
    <w:p w14:paraId="5C3F635D" w14:textId="77777777" w:rsidR="000D16C7" w:rsidRDefault="000D16C7" w:rsidP="00CA2880">
      <w:pPr>
        <w:spacing w:line="240" w:lineRule="auto"/>
        <w:rPr>
          <w:rFonts w:cs="Arial"/>
          <w:b/>
          <w:sz w:val="22"/>
          <w:szCs w:val="22"/>
        </w:rPr>
      </w:pPr>
      <w:r>
        <w:rPr>
          <w:rFonts w:cs="Arial"/>
          <w:b/>
          <w:sz w:val="22"/>
          <w:szCs w:val="22"/>
        </w:rPr>
        <w:t>Objectives for the Defined Benefit (“DB”) portion of the Scheme</w:t>
      </w:r>
    </w:p>
    <w:p w14:paraId="06D3DA7A" w14:textId="77777777" w:rsidR="000D16C7" w:rsidRDefault="000D16C7" w:rsidP="00CA2880">
      <w:pPr>
        <w:spacing w:line="240" w:lineRule="auto"/>
        <w:rPr>
          <w:rFonts w:cs="Arial"/>
          <w:sz w:val="22"/>
          <w:szCs w:val="22"/>
        </w:rPr>
      </w:pPr>
    </w:p>
    <w:p w14:paraId="08713F2F" w14:textId="77777777" w:rsidR="001C62DE" w:rsidRDefault="000D16C7" w:rsidP="00CA2880">
      <w:pPr>
        <w:spacing w:line="240" w:lineRule="auto"/>
        <w:rPr>
          <w:rFonts w:cs="Arial"/>
          <w:sz w:val="22"/>
          <w:szCs w:val="22"/>
        </w:rPr>
      </w:pPr>
      <w:r>
        <w:rPr>
          <w:rFonts w:cs="Arial"/>
          <w:sz w:val="22"/>
          <w:szCs w:val="22"/>
        </w:rPr>
        <w:t xml:space="preserve">The </w:t>
      </w:r>
      <w:r w:rsidR="00007499">
        <w:rPr>
          <w:rFonts w:cs="Arial"/>
          <w:sz w:val="22"/>
          <w:szCs w:val="22"/>
        </w:rPr>
        <w:t xml:space="preserve">overall objective of the DB portion of the Scheme is to meet the benefit payments promised as they fall due. </w:t>
      </w:r>
    </w:p>
    <w:p w14:paraId="7B919EC6" w14:textId="77777777" w:rsidR="001C62DE" w:rsidRDefault="001C62DE" w:rsidP="00CA2880">
      <w:pPr>
        <w:spacing w:line="240" w:lineRule="auto"/>
        <w:rPr>
          <w:rFonts w:cs="Arial"/>
          <w:sz w:val="22"/>
          <w:szCs w:val="22"/>
        </w:rPr>
      </w:pPr>
    </w:p>
    <w:p w14:paraId="1C8514AF" w14:textId="4C081002" w:rsidR="000D16C7" w:rsidRDefault="0039310B" w:rsidP="00CA2880">
      <w:pPr>
        <w:spacing w:line="240" w:lineRule="auto"/>
        <w:rPr>
          <w:rFonts w:cs="Arial"/>
          <w:sz w:val="22"/>
          <w:szCs w:val="22"/>
        </w:rPr>
      </w:pPr>
      <w:r>
        <w:rPr>
          <w:rFonts w:cs="Arial"/>
          <w:sz w:val="22"/>
          <w:szCs w:val="22"/>
        </w:rPr>
        <w:t>The a</w:t>
      </w:r>
      <w:r w:rsidR="001C62DE">
        <w:rPr>
          <w:rFonts w:cs="Arial"/>
          <w:sz w:val="22"/>
          <w:szCs w:val="22"/>
        </w:rPr>
        <w:t xml:space="preserve">ctuarial </w:t>
      </w:r>
      <w:r>
        <w:rPr>
          <w:rFonts w:cs="Arial"/>
          <w:sz w:val="22"/>
          <w:szCs w:val="22"/>
        </w:rPr>
        <w:t>v</w:t>
      </w:r>
      <w:r w:rsidR="001C62DE">
        <w:rPr>
          <w:rFonts w:cs="Arial"/>
          <w:sz w:val="22"/>
          <w:szCs w:val="22"/>
        </w:rPr>
        <w:t xml:space="preserve">aluation of the Scheme as at 1 February </w:t>
      </w:r>
      <w:r w:rsidR="003852F4">
        <w:rPr>
          <w:rFonts w:cs="Arial"/>
          <w:sz w:val="22"/>
          <w:szCs w:val="22"/>
        </w:rPr>
        <w:t xml:space="preserve">2019 </w:t>
      </w:r>
      <w:r w:rsidR="001C62DE">
        <w:rPr>
          <w:rFonts w:cs="Arial"/>
          <w:sz w:val="22"/>
          <w:szCs w:val="22"/>
        </w:rPr>
        <w:t xml:space="preserve">showed that it had a </w:t>
      </w:r>
      <w:r w:rsidR="003852F4">
        <w:rPr>
          <w:rFonts w:cs="Arial"/>
          <w:sz w:val="22"/>
          <w:szCs w:val="22"/>
        </w:rPr>
        <w:t xml:space="preserve">surplus </w:t>
      </w:r>
      <w:r w:rsidR="001C62DE">
        <w:rPr>
          <w:rFonts w:cs="Arial"/>
          <w:sz w:val="22"/>
          <w:szCs w:val="22"/>
        </w:rPr>
        <w:t>of £</w:t>
      </w:r>
      <w:r w:rsidR="00FA152E">
        <w:rPr>
          <w:rFonts w:cs="Arial"/>
          <w:sz w:val="22"/>
          <w:szCs w:val="22"/>
        </w:rPr>
        <w:t>15</w:t>
      </w:r>
      <w:r w:rsidR="001C62DE">
        <w:rPr>
          <w:rFonts w:cs="Arial"/>
          <w:sz w:val="22"/>
          <w:szCs w:val="22"/>
        </w:rPr>
        <w:t>,000 at that date</w:t>
      </w:r>
      <w:r w:rsidR="00FA152E">
        <w:rPr>
          <w:rFonts w:cs="Arial"/>
          <w:sz w:val="22"/>
          <w:szCs w:val="22"/>
        </w:rPr>
        <w:t xml:space="preserve"> on a technical provisions basis and a deficit of £296,000 on a solvency basis</w:t>
      </w:r>
      <w:r w:rsidR="001C62DE">
        <w:rPr>
          <w:rFonts w:cs="Arial"/>
          <w:sz w:val="22"/>
          <w:szCs w:val="22"/>
        </w:rPr>
        <w:t xml:space="preserve">. </w:t>
      </w:r>
      <w:r w:rsidR="00FA152E">
        <w:rPr>
          <w:rFonts w:cs="Arial"/>
          <w:sz w:val="22"/>
          <w:szCs w:val="22"/>
        </w:rPr>
        <w:t>No deficit recovery plan was necessary following this valuation, but the sponsoring employer agreed to continue to meet the expenses of running the Scheme (except for investment management and advisory expenses), as assumed in the valuation. Maintaining the Scheme in surplus is a further objective of the DB portion of the Scheme.</w:t>
      </w:r>
    </w:p>
    <w:p w14:paraId="38772FB4" w14:textId="77777777" w:rsidR="00007499" w:rsidRDefault="00007499" w:rsidP="00CA2880">
      <w:pPr>
        <w:spacing w:line="240" w:lineRule="auto"/>
        <w:rPr>
          <w:rFonts w:cs="Arial"/>
          <w:sz w:val="22"/>
          <w:szCs w:val="22"/>
        </w:rPr>
      </w:pPr>
    </w:p>
    <w:p w14:paraId="7A69B3E0" w14:textId="7A4A17FB" w:rsidR="001821B2" w:rsidRDefault="00007499" w:rsidP="00CA2880">
      <w:pPr>
        <w:spacing w:line="240" w:lineRule="auto"/>
        <w:rPr>
          <w:rFonts w:cs="Arial"/>
          <w:sz w:val="22"/>
          <w:szCs w:val="22"/>
        </w:rPr>
      </w:pPr>
      <w:r>
        <w:rPr>
          <w:rFonts w:cs="Arial"/>
          <w:sz w:val="22"/>
          <w:szCs w:val="22"/>
        </w:rPr>
        <w:t>The Trustees wish to maximise the total investment returns within an acceptable level of risk in order to achieve a return</w:t>
      </w:r>
      <w:r w:rsidR="003B3605">
        <w:rPr>
          <w:rFonts w:cs="Arial"/>
          <w:sz w:val="22"/>
          <w:szCs w:val="22"/>
        </w:rPr>
        <w:t>,</w:t>
      </w:r>
      <w:r>
        <w:rPr>
          <w:rFonts w:cs="Arial"/>
          <w:sz w:val="22"/>
          <w:szCs w:val="22"/>
        </w:rPr>
        <w:t xml:space="preserve"> in the long term, no less than the neutral rate of return assumed in the latest actuarial valuation which, for the </w:t>
      </w:r>
      <w:r w:rsidR="00FA152E">
        <w:rPr>
          <w:rFonts w:cs="Arial"/>
          <w:sz w:val="22"/>
          <w:szCs w:val="22"/>
        </w:rPr>
        <w:t xml:space="preserve">2019 </w:t>
      </w:r>
      <w:r>
        <w:rPr>
          <w:rFonts w:cs="Arial"/>
          <w:sz w:val="22"/>
          <w:szCs w:val="22"/>
        </w:rPr>
        <w:t>valuation, was 4.</w:t>
      </w:r>
      <w:r w:rsidR="00FA152E">
        <w:rPr>
          <w:rFonts w:cs="Arial"/>
          <w:sz w:val="22"/>
          <w:szCs w:val="22"/>
        </w:rPr>
        <w:t>40</w:t>
      </w:r>
      <w:r>
        <w:rPr>
          <w:rFonts w:cs="Arial"/>
          <w:sz w:val="22"/>
          <w:szCs w:val="22"/>
        </w:rPr>
        <w:t>% pa (net of fees).</w:t>
      </w:r>
      <w:r w:rsidR="00FA152E">
        <w:rPr>
          <w:rFonts w:cs="Arial"/>
          <w:sz w:val="22"/>
          <w:szCs w:val="22"/>
        </w:rPr>
        <w:t xml:space="preserve"> By </w:t>
      </w:r>
      <w:r w:rsidR="001926E1">
        <w:rPr>
          <w:rFonts w:cs="Arial"/>
          <w:sz w:val="22"/>
          <w:szCs w:val="22"/>
        </w:rPr>
        <w:t>targeting</w:t>
      </w:r>
      <w:r w:rsidR="00FA152E">
        <w:rPr>
          <w:rFonts w:cs="Arial"/>
          <w:sz w:val="22"/>
          <w:szCs w:val="22"/>
        </w:rPr>
        <w:t xml:space="preserve"> a return greater than that assumed in the actuarial valuation, the Trustees are </w:t>
      </w:r>
      <w:r w:rsidR="001926E1">
        <w:rPr>
          <w:rFonts w:cs="Arial"/>
          <w:sz w:val="22"/>
          <w:szCs w:val="22"/>
        </w:rPr>
        <w:t>seeking to</w:t>
      </w:r>
      <w:r w:rsidR="00FA152E">
        <w:rPr>
          <w:rFonts w:cs="Arial"/>
          <w:sz w:val="22"/>
          <w:szCs w:val="22"/>
        </w:rPr>
        <w:t xml:space="preserve"> </w:t>
      </w:r>
      <w:r w:rsidR="00B90EF1">
        <w:rPr>
          <w:rFonts w:cs="Arial"/>
          <w:sz w:val="22"/>
          <w:szCs w:val="22"/>
        </w:rPr>
        <w:t xml:space="preserve">increase the </w:t>
      </w:r>
      <w:r w:rsidR="00FA152E">
        <w:rPr>
          <w:rFonts w:cs="Arial"/>
          <w:sz w:val="22"/>
          <w:szCs w:val="22"/>
        </w:rPr>
        <w:t xml:space="preserve">surplus on a technical provisions basis </w:t>
      </w:r>
      <w:r w:rsidR="001926E1">
        <w:rPr>
          <w:rFonts w:cs="Arial"/>
          <w:sz w:val="22"/>
          <w:szCs w:val="22"/>
        </w:rPr>
        <w:t>so they can</w:t>
      </w:r>
      <w:r w:rsidR="00FA152E">
        <w:rPr>
          <w:rFonts w:cs="Arial"/>
          <w:sz w:val="22"/>
          <w:szCs w:val="22"/>
        </w:rPr>
        <w:t xml:space="preserve"> </w:t>
      </w:r>
      <w:r w:rsidR="007A2240">
        <w:rPr>
          <w:rFonts w:cs="Arial"/>
          <w:sz w:val="22"/>
          <w:szCs w:val="22"/>
        </w:rPr>
        <w:t xml:space="preserve">progressively </w:t>
      </w:r>
      <w:r w:rsidR="00FA152E">
        <w:rPr>
          <w:rFonts w:cs="Arial"/>
          <w:sz w:val="22"/>
          <w:szCs w:val="22"/>
        </w:rPr>
        <w:t xml:space="preserve">de-risk the investment policy </w:t>
      </w:r>
      <w:r w:rsidR="00B90EF1">
        <w:rPr>
          <w:rFonts w:cs="Arial"/>
          <w:sz w:val="22"/>
          <w:szCs w:val="22"/>
        </w:rPr>
        <w:t>and</w:t>
      </w:r>
      <w:r w:rsidR="00FA152E">
        <w:rPr>
          <w:rFonts w:cs="Arial"/>
          <w:sz w:val="22"/>
          <w:szCs w:val="22"/>
        </w:rPr>
        <w:t xml:space="preserve"> clos</w:t>
      </w:r>
      <w:r w:rsidR="00B90EF1">
        <w:rPr>
          <w:rFonts w:cs="Arial"/>
          <w:sz w:val="22"/>
          <w:szCs w:val="22"/>
        </w:rPr>
        <w:t>e</w:t>
      </w:r>
      <w:r w:rsidR="00FA152E">
        <w:rPr>
          <w:rFonts w:cs="Arial"/>
          <w:sz w:val="22"/>
          <w:szCs w:val="22"/>
        </w:rPr>
        <w:t xml:space="preserve"> the deficit on a solvency basis to </w:t>
      </w:r>
      <w:r w:rsidR="001926E1">
        <w:rPr>
          <w:rFonts w:cs="Arial"/>
          <w:sz w:val="22"/>
          <w:szCs w:val="22"/>
        </w:rPr>
        <w:t>achieve a buy-out</w:t>
      </w:r>
      <w:r w:rsidR="00FA152E">
        <w:rPr>
          <w:rFonts w:cs="Arial"/>
          <w:sz w:val="22"/>
          <w:szCs w:val="22"/>
        </w:rPr>
        <w:t xml:space="preserve"> the </w:t>
      </w:r>
      <w:r w:rsidR="001926E1">
        <w:rPr>
          <w:rFonts w:cs="Arial"/>
          <w:sz w:val="22"/>
          <w:szCs w:val="22"/>
        </w:rPr>
        <w:t>Scheme’s DB liabilities by the end of 2030.</w:t>
      </w:r>
    </w:p>
    <w:p w14:paraId="4F6DD3B9" w14:textId="307BB742" w:rsidR="00007499" w:rsidRDefault="00007499" w:rsidP="00CA2880">
      <w:pPr>
        <w:spacing w:line="240" w:lineRule="auto"/>
        <w:rPr>
          <w:rFonts w:cs="Arial"/>
          <w:sz w:val="22"/>
          <w:szCs w:val="22"/>
        </w:rPr>
      </w:pPr>
    </w:p>
    <w:p w14:paraId="4360370D" w14:textId="77777777" w:rsidR="000D16C7" w:rsidRDefault="000D16C7" w:rsidP="00CA2880">
      <w:pPr>
        <w:spacing w:line="240" w:lineRule="auto"/>
        <w:rPr>
          <w:rFonts w:cs="Arial"/>
          <w:sz w:val="22"/>
          <w:szCs w:val="22"/>
        </w:rPr>
      </w:pPr>
    </w:p>
    <w:p w14:paraId="5D2CB534" w14:textId="77777777" w:rsidR="000D16C7" w:rsidRDefault="000D16C7" w:rsidP="00CA2880">
      <w:pPr>
        <w:spacing w:line="240" w:lineRule="auto"/>
        <w:rPr>
          <w:rFonts w:cs="Arial"/>
          <w:sz w:val="22"/>
          <w:szCs w:val="22"/>
        </w:rPr>
      </w:pPr>
    </w:p>
    <w:p w14:paraId="173070AC" w14:textId="77777777" w:rsidR="00007499" w:rsidRDefault="00007499" w:rsidP="00007499">
      <w:pPr>
        <w:spacing w:line="240" w:lineRule="auto"/>
        <w:rPr>
          <w:rFonts w:cs="Arial"/>
          <w:b/>
          <w:sz w:val="22"/>
          <w:szCs w:val="22"/>
        </w:rPr>
      </w:pPr>
      <w:r>
        <w:rPr>
          <w:rFonts w:cs="Arial"/>
          <w:b/>
          <w:sz w:val="22"/>
          <w:szCs w:val="22"/>
        </w:rPr>
        <w:t>Objectives for the Defined Contribution (“DC”) portion of the Scheme</w:t>
      </w:r>
    </w:p>
    <w:p w14:paraId="385F35BA" w14:textId="77777777" w:rsidR="000D16C7" w:rsidRDefault="000D16C7" w:rsidP="00CA2880">
      <w:pPr>
        <w:spacing w:line="240" w:lineRule="auto"/>
        <w:rPr>
          <w:rFonts w:cs="Arial"/>
          <w:sz w:val="22"/>
          <w:szCs w:val="22"/>
        </w:rPr>
      </w:pPr>
    </w:p>
    <w:p w14:paraId="379CDFBC" w14:textId="77777777" w:rsidR="000D16C7" w:rsidRDefault="00007499" w:rsidP="00CA2880">
      <w:pPr>
        <w:spacing w:line="240" w:lineRule="auto"/>
        <w:rPr>
          <w:rFonts w:cs="Arial"/>
          <w:sz w:val="22"/>
          <w:szCs w:val="22"/>
        </w:rPr>
      </w:pPr>
      <w:r>
        <w:rPr>
          <w:rFonts w:cs="Arial"/>
          <w:sz w:val="22"/>
          <w:szCs w:val="22"/>
        </w:rPr>
        <w:t>The Trustees recognise that their ultimate objective is to ensure that, as far as possible, DC members of the Scheme are able to</w:t>
      </w:r>
      <w:r w:rsidR="0062527A">
        <w:rPr>
          <w:rFonts w:cs="Arial"/>
          <w:sz w:val="22"/>
          <w:szCs w:val="22"/>
        </w:rPr>
        <w:t xml:space="preserve"> retire on a reasonable level of</w:t>
      </w:r>
      <w:r>
        <w:rPr>
          <w:rFonts w:cs="Arial"/>
          <w:sz w:val="22"/>
          <w:szCs w:val="22"/>
        </w:rPr>
        <w:t xml:space="preserve"> pension, taking into account the contributions paid into their individual accounts and</w:t>
      </w:r>
      <w:r w:rsidR="00911D2E">
        <w:rPr>
          <w:rFonts w:cs="Arial"/>
          <w:sz w:val="22"/>
          <w:szCs w:val="22"/>
        </w:rPr>
        <w:t xml:space="preserve"> the timescale over which those contributions were paid.</w:t>
      </w:r>
    </w:p>
    <w:p w14:paraId="18400DDC" w14:textId="77777777" w:rsidR="00911D2E" w:rsidRDefault="00911D2E" w:rsidP="00CA2880">
      <w:pPr>
        <w:spacing w:line="240" w:lineRule="auto"/>
        <w:rPr>
          <w:rFonts w:cs="Arial"/>
          <w:sz w:val="22"/>
          <w:szCs w:val="22"/>
        </w:rPr>
      </w:pPr>
    </w:p>
    <w:p w14:paraId="6C606D3D" w14:textId="77777777" w:rsidR="00911D2E" w:rsidRDefault="00911D2E" w:rsidP="00CA2880">
      <w:pPr>
        <w:spacing w:line="240" w:lineRule="auto"/>
        <w:rPr>
          <w:rFonts w:cs="Arial"/>
          <w:sz w:val="22"/>
          <w:szCs w:val="22"/>
        </w:rPr>
      </w:pPr>
      <w:r>
        <w:rPr>
          <w:rFonts w:cs="Arial"/>
          <w:sz w:val="22"/>
          <w:szCs w:val="22"/>
        </w:rPr>
        <w:t xml:space="preserve">The Trustees have adopted the same investment objectives for the DC portion </w:t>
      </w:r>
      <w:r w:rsidR="003B3605">
        <w:rPr>
          <w:rFonts w:cs="Arial"/>
          <w:sz w:val="22"/>
          <w:szCs w:val="22"/>
        </w:rPr>
        <w:t xml:space="preserve">of the Scheme </w:t>
      </w:r>
      <w:r>
        <w:rPr>
          <w:rFonts w:cs="Arial"/>
          <w:sz w:val="22"/>
          <w:szCs w:val="22"/>
        </w:rPr>
        <w:t>as they have set for the DB portion.</w:t>
      </w:r>
    </w:p>
    <w:p w14:paraId="4A4B9F77" w14:textId="77777777" w:rsidR="000D16C7" w:rsidRDefault="000D16C7" w:rsidP="00CA2880">
      <w:pPr>
        <w:spacing w:line="240" w:lineRule="auto"/>
        <w:rPr>
          <w:rFonts w:cs="Arial"/>
          <w:sz w:val="22"/>
          <w:szCs w:val="22"/>
        </w:rPr>
      </w:pPr>
    </w:p>
    <w:p w14:paraId="52317E0F" w14:textId="77777777" w:rsidR="00911D2E" w:rsidRDefault="00911D2E" w:rsidP="00CA2880">
      <w:pPr>
        <w:spacing w:line="240" w:lineRule="auto"/>
        <w:rPr>
          <w:rFonts w:cs="Arial"/>
          <w:sz w:val="22"/>
          <w:szCs w:val="22"/>
        </w:rPr>
      </w:pPr>
    </w:p>
    <w:p w14:paraId="4FBDD985" w14:textId="77777777" w:rsidR="000D16C7" w:rsidRDefault="00911D2E" w:rsidP="00CA2880">
      <w:pPr>
        <w:spacing w:line="240" w:lineRule="auto"/>
        <w:rPr>
          <w:rFonts w:cs="Arial"/>
          <w:sz w:val="22"/>
          <w:szCs w:val="22"/>
        </w:rPr>
      </w:pPr>
      <w:r>
        <w:rPr>
          <w:rFonts w:cs="Arial"/>
          <w:b/>
          <w:sz w:val="22"/>
          <w:szCs w:val="22"/>
        </w:rPr>
        <w:t>Investment Strategy</w:t>
      </w:r>
    </w:p>
    <w:p w14:paraId="414E9583" w14:textId="77777777" w:rsidR="000D16C7" w:rsidRDefault="000D16C7" w:rsidP="00CA2880">
      <w:pPr>
        <w:spacing w:line="240" w:lineRule="auto"/>
        <w:rPr>
          <w:rFonts w:cs="Arial"/>
          <w:sz w:val="22"/>
          <w:szCs w:val="22"/>
        </w:rPr>
      </w:pPr>
    </w:p>
    <w:p w14:paraId="7ECAA664" w14:textId="77777777" w:rsidR="000D16C7" w:rsidRDefault="00911D2E" w:rsidP="00CA2880">
      <w:pPr>
        <w:spacing w:line="240" w:lineRule="auto"/>
        <w:rPr>
          <w:rFonts w:cs="Arial"/>
          <w:sz w:val="22"/>
          <w:szCs w:val="22"/>
        </w:rPr>
      </w:pPr>
      <w:r>
        <w:rPr>
          <w:rFonts w:cs="Arial"/>
          <w:sz w:val="22"/>
          <w:szCs w:val="22"/>
        </w:rPr>
        <w:t xml:space="preserve">The Trustees invest all the Scheme’s assets as a whole, rather than segregating them between assets of the DB and DC portions of the Scheme respectively. The Actuary undertakes </w:t>
      </w:r>
      <w:r w:rsidR="0039310B">
        <w:rPr>
          <w:rFonts w:cs="Arial"/>
          <w:sz w:val="22"/>
          <w:szCs w:val="22"/>
        </w:rPr>
        <w:t>a periodic</w:t>
      </w:r>
      <w:r>
        <w:rPr>
          <w:rFonts w:cs="Arial"/>
          <w:sz w:val="22"/>
          <w:szCs w:val="22"/>
        </w:rPr>
        <w:t xml:space="preserve"> calculation of the change in value of each individual DC </w:t>
      </w:r>
      <w:r w:rsidR="0036504A">
        <w:rPr>
          <w:rFonts w:cs="Arial"/>
          <w:sz w:val="22"/>
          <w:szCs w:val="22"/>
        </w:rPr>
        <w:t xml:space="preserve">account by reference to </w:t>
      </w:r>
      <w:r w:rsidR="003B3605">
        <w:rPr>
          <w:rFonts w:cs="Arial"/>
          <w:sz w:val="22"/>
          <w:szCs w:val="22"/>
        </w:rPr>
        <w:t xml:space="preserve">members’ </w:t>
      </w:r>
      <w:r w:rsidR="0036504A">
        <w:rPr>
          <w:rFonts w:cs="Arial"/>
          <w:sz w:val="22"/>
          <w:szCs w:val="22"/>
        </w:rPr>
        <w:t xml:space="preserve">contributions paid </w:t>
      </w:r>
      <w:r w:rsidR="003B3605">
        <w:rPr>
          <w:rFonts w:cs="Arial"/>
          <w:sz w:val="22"/>
          <w:szCs w:val="22"/>
        </w:rPr>
        <w:t xml:space="preserve">into the Scheme </w:t>
      </w:r>
      <w:r w:rsidR="0036504A">
        <w:rPr>
          <w:rFonts w:cs="Arial"/>
          <w:sz w:val="22"/>
          <w:szCs w:val="22"/>
        </w:rPr>
        <w:t xml:space="preserve">during the </w:t>
      </w:r>
      <w:r w:rsidR="0039310B">
        <w:rPr>
          <w:rFonts w:cs="Arial"/>
          <w:sz w:val="22"/>
          <w:szCs w:val="22"/>
        </w:rPr>
        <w:t>period</w:t>
      </w:r>
      <w:r w:rsidR="0036504A">
        <w:rPr>
          <w:rFonts w:cs="Arial"/>
          <w:sz w:val="22"/>
          <w:szCs w:val="22"/>
        </w:rPr>
        <w:t xml:space="preserve"> and the return earned on all of the Scheme’s assets over that period.</w:t>
      </w:r>
    </w:p>
    <w:p w14:paraId="3F5E486F" w14:textId="77777777" w:rsidR="0036504A" w:rsidRDefault="0036504A" w:rsidP="00CA2880">
      <w:pPr>
        <w:spacing w:line="240" w:lineRule="auto"/>
        <w:rPr>
          <w:rFonts w:cs="Arial"/>
          <w:sz w:val="22"/>
          <w:szCs w:val="22"/>
        </w:rPr>
      </w:pPr>
    </w:p>
    <w:p w14:paraId="1F0D98C7" w14:textId="77777777" w:rsidR="0036504A" w:rsidRDefault="0036504A" w:rsidP="00CA2880">
      <w:pPr>
        <w:spacing w:line="240" w:lineRule="auto"/>
        <w:rPr>
          <w:rFonts w:cs="Arial"/>
          <w:sz w:val="22"/>
          <w:szCs w:val="22"/>
        </w:rPr>
      </w:pPr>
      <w:r>
        <w:rPr>
          <w:rFonts w:cs="Arial"/>
          <w:sz w:val="22"/>
          <w:szCs w:val="22"/>
        </w:rPr>
        <w:t>The annual benefits payable to members exceed new contributions being paid into the Sch</w:t>
      </w:r>
      <w:r w:rsidR="0039310B">
        <w:rPr>
          <w:rFonts w:cs="Arial"/>
          <w:sz w:val="22"/>
          <w:szCs w:val="22"/>
        </w:rPr>
        <w:t>eme. The Trustees have therefore</w:t>
      </w:r>
      <w:r>
        <w:rPr>
          <w:rFonts w:cs="Arial"/>
          <w:sz w:val="22"/>
          <w:szCs w:val="22"/>
        </w:rPr>
        <w:t xml:space="preserve"> </w:t>
      </w:r>
      <w:r w:rsidR="0039310B">
        <w:rPr>
          <w:rFonts w:cs="Arial"/>
          <w:sz w:val="22"/>
          <w:szCs w:val="22"/>
        </w:rPr>
        <w:t xml:space="preserve">decided </w:t>
      </w:r>
      <w:r>
        <w:rPr>
          <w:rFonts w:cs="Arial"/>
          <w:sz w:val="22"/>
          <w:szCs w:val="22"/>
        </w:rPr>
        <w:t xml:space="preserve">to invest in assets that generate an annual income, as well as in assets that will grow over time. They have decided to divide the assets of the Scheme into two </w:t>
      </w:r>
      <w:r w:rsidR="00323903">
        <w:rPr>
          <w:rFonts w:cs="Arial"/>
          <w:sz w:val="22"/>
          <w:szCs w:val="22"/>
        </w:rPr>
        <w:t xml:space="preserve">broadly </w:t>
      </w:r>
      <w:r>
        <w:rPr>
          <w:rFonts w:cs="Arial"/>
          <w:sz w:val="22"/>
          <w:szCs w:val="22"/>
        </w:rPr>
        <w:t>equal segments, one in which the return will come mainly from the income yield from the assets (the “Income Fund”), and one where the return will come principally from the increase in asset values (the “Growth Fund”). Both funds will target the same rate of overall return set for the Scheme as a whole.</w:t>
      </w:r>
    </w:p>
    <w:p w14:paraId="67AAC496" w14:textId="77777777" w:rsidR="0086392B" w:rsidRDefault="0086392B" w:rsidP="00CA2880">
      <w:pPr>
        <w:spacing w:line="240" w:lineRule="auto"/>
        <w:rPr>
          <w:rFonts w:cs="Arial"/>
          <w:sz w:val="22"/>
          <w:szCs w:val="22"/>
        </w:rPr>
      </w:pPr>
    </w:p>
    <w:p w14:paraId="1D449479" w14:textId="77777777" w:rsidR="00F751E4" w:rsidRDefault="00F751E4" w:rsidP="00F751E4">
      <w:pPr>
        <w:spacing w:line="240" w:lineRule="auto"/>
        <w:rPr>
          <w:rFonts w:cs="Arial"/>
          <w:b/>
          <w:sz w:val="22"/>
          <w:szCs w:val="22"/>
        </w:rPr>
      </w:pPr>
    </w:p>
    <w:p w14:paraId="25506A8B" w14:textId="77777777" w:rsidR="00F85A95" w:rsidRDefault="00F85A95">
      <w:pPr>
        <w:spacing w:line="240" w:lineRule="auto"/>
        <w:rPr>
          <w:rFonts w:cs="Arial"/>
          <w:b/>
          <w:sz w:val="22"/>
          <w:szCs w:val="22"/>
        </w:rPr>
      </w:pPr>
      <w:r>
        <w:rPr>
          <w:rFonts w:cs="Arial"/>
          <w:b/>
          <w:sz w:val="22"/>
          <w:szCs w:val="22"/>
        </w:rPr>
        <w:br w:type="page"/>
      </w:r>
    </w:p>
    <w:p w14:paraId="6B00A199" w14:textId="5421874D" w:rsidR="00F751E4" w:rsidRDefault="00F751E4" w:rsidP="00F751E4">
      <w:pPr>
        <w:spacing w:line="240" w:lineRule="auto"/>
        <w:rPr>
          <w:rFonts w:cs="Arial"/>
          <w:sz w:val="22"/>
          <w:szCs w:val="22"/>
        </w:rPr>
      </w:pPr>
      <w:r>
        <w:rPr>
          <w:rFonts w:cs="Arial"/>
          <w:b/>
          <w:sz w:val="22"/>
          <w:szCs w:val="22"/>
        </w:rPr>
        <w:lastRenderedPageBreak/>
        <w:t>Implementation of Investment Strategy</w:t>
      </w:r>
    </w:p>
    <w:p w14:paraId="12445AE7" w14:textId="77777777" w:rsidR="00F751E4" w:rsidRDefault="00F751E4" w:rsidP="00CA2880">
      <w:pPr>
        <w:spacing w:line="240" w:lineRule="auto"/>
        <w:rPr>
          <w:rFonts w:cs="Arial"/>
          <w:sz w:val="22"/>
          <w:szCs w:val="22"/>
        </w:rPr>
      </w:pPr>
    </w:p>
    <w:p w14:paraId="63600E2E" w14:textId="50A53AB5" w:rsidR="00323903" w:rsidRDefault="000434E5" w:rsidP="00CA2880">
      <w:pPr>
        <w:spacing w:line="240" w:lineRule="auto"/>
        <w:rPr>
          <w:rFonts w:cs="Arial"/>
          <w:sz w:val="22"/>
          <w:szCs w:val="22"/>
        </w:rPr>
      </w:pPr>
      <w:r>
        <w:rPr>
          <w:rFonts w:cs="Arial"/>
          <w:sz w:val="22"/>
          <w:szCs w:val="22"/>
        </w:rPr>
        <w:t xml:space="preserve">The Trustees have decided that all of their funds will be invested through St James’s Place Wealth Management. </w:t>
      </w:r>
      <w:r w:rsidR="0086392B">
        <w:rPr>
          <w:rFonts w:cs="Arial"/>
          <w:sz w:val="22"/>
          <w:szCs w:val="22"/>
        </w:rPr>
        <w:t xml:space="preserve">Having received advice from their </w:t>
      </w:r>
      <w:r w:rsidR="0039310B">
        <w:rPr>
          <w:rFonts w:cs="Arial"/>
          <w:sz w:val="22"/>
          <w:szCs w:val="22"/>
        </w:rPr>
        <w:t>I</w:t>
      </w:r>
      <w:r w:rsidR="0086392B">
        <w:rPr>
          <w:rFonts w:cs="Arial"/>
          <w:sz w:val="22"/>
          <w:szCs w:val="22"/>
        </w:rPr>
        <w:t xml:space="preserve">nvestment </w:t>
      </w:r>
      <w:r w:rsidR="0039310B">
        <w:rPr>
          <w:rFonts w:cs="Arial"/>
          <w:sz w:val="22"/>
          <w:szCs w:val="22"/>
        </w:rPr>
        <w:t>A</w:t>
      </w:r>
      <w:r w:rsidR="0086392B">
        <w:rPr>
          <w:rFonts w:cs="Arial"/>
          <w:sz w:val="22"/>
          <w:szCs w:val="22"/>
        </w:rPr>
        <w:t xml:space="preserve">dvisers, the Trustees have agreed to invest </w:t>
      </w:r>
      <w:r w:rsidR="004265AA">
        <w:rPr>
          <w:rFonts w:cs="Arial"/>
          <w:sz w:val="22"/>
          <w:szCs w:val="22"/>
        </w:rPr>
        <w:t>the Growth Fund in a bespoke portfolio of eight different funds</w:t>
      </w:r>
      <w:r w:rsidR="00D550AB">
        <w:rPr>
          <w:rFonts w:cs="Arial"/>
          <w:sz w:val="22"/>
          <w:szCs w:val="22"/>
        </w:rPr>
        <w:t xml:space="preserve"> and to invest the Income Fund in </w:t>
      </w:r>
      <w:r w:rsidR="002B7B1D">
        <w:rPr>
          <w:rFonts w:cs="Arial"/>
          <w:sz w:val="22"/>
          <w:szCs w:val="22"/>
        </w:rPr>
        <w:t xml:space="preserve">a bespoke portfolio of 12 different funds. </w:t>
      </w:r>
    </w:p>
    <w:p w14:paraId="770CF8BD" w14:textId="77777777" w:rsidR="00323903" w:rsidRDefault="00323903" w:rsidP="00CA2880">
      <w:pPr>
        <w:spacing w:line="240" w:lineRule="auto"/>
        <w:rPr>
          <w:rFonts w:cs="Arial"/>
          <w:sz w:val="22"/>
          <w:szCs w:val="22"/>
        </w:rPr>
      </w:pPr>
    </w:p>
    <w:p w14:paraId="47AF586E" w14:textId="6DCA0A51" w:rsidR="00F14F79" w:rsidRDefault="00C07431" w:rsidP="00C07431">
      <w:pPr>
        <w:pStyle w:val="BodyText"/>
        <w:spacing w:after="0" w:line="240" w:lineRule="auto"/>
        <w:contextualSpacing/>
        <w:rPr>
          <w:rFonts w:cs="Arial"/>
          <w:sz w:val="22"/>
          <w:szCs w:val="22"/>
        </w:rPr>
      </w:pPr>
      <w:r w:rsidRPr="009B5040">
        <w:rPr>
          <w:rFonts w:cs="Arial"/>
          <w:sz w:val="22"/>
          <w:szCs w:val="22"/>
        </w:rPr>
        <w:t xml:space="preserve">The assets of the Scheme are invested in pooled vehicles.  Selection of the individual underlying assets has been wholly delegated to the fund managers </w:t>
      </w:r>
      <w:r w:rsidR="0039310B">
        <w:rPr>
          <w:rFonts w:cs="Arial"/>
          <w:sz w:val="22"/>
          <w:szCs w:val="22"/>
        </w:rPr>
        <w:t xml:space="preserve">who are </w:t>
      </w:r>
      <w:r w:rsidRPr="009B5040">
        <w:rPr>
          <w:rFonts w:cs="Arial"/>
          <w:sz w:val="22"/>
          <w:szCs w:val="22"/>
        </w:rPr>
        <w:t xml:space="preserve">listed </w:t>
      </w:r>
      <w:r>
        <w:rPr>
          <w:rFonts w:cs="Arial"/>
          <w:sz w:val="22"/>
          <w:szCs w:val="22"/>
        </w:rPr>
        <w:t xml:space="preserve">below. </w:t>
      </w:r>
      <w:r w:rsidR="002B7B1D">
        <w:rPr>
          <w:rFonts w:cs="Arial"/>
          <w:sz w:val="22"/>
          <w:szCs w:val="22"/>
        </w:rPr>
        <w:t xml:space="preserve">St James’s Place Wealth Management have selected the managers for each of the 20 funds in the total portfolio. </w:t>
      </w:r>
      <w:r w:rsidR="00F14F79">
        <w:rPr>
          <w:rFonts w:cs="Arial"/>
          <w:sz w:val="22"/>
          <w:szCs w:val="22"/>
        </w:rPr>
        <w:t xml:space="preserve">Several individual funds </w:t>
      </w:r>
      <w:r w:rsidR="000434E5">
        <w:rPr>
          <w:rFonts w:cs="Arial"/>
          <w:sz w:val="22"/>
          <w:szCs w:val="22"/>
        </w:rPr>
        <w:t xml:space="preserve">in both the Growth Portfolio and the Income Portfolios </w:t>
      </w:r>
      <w:r w:rsidR="00F14F79">
        <w:rPr>
          <w:rFonts w:cs="Arial"/>
          <w:sz w:val="22"/>
          <w:szCs w:val="22"/>
        </w:rPr>
        <w:t xml:space="preserve">are managed on a multi-manager basis. Through this structure, the Trustees have achieved a wide degree of diversification in their investments, not just between asset classes but also between asset managers. </w:t>
      </w:r>
      <w:r w:rsidR="00323903">
        <w:rPr>
          <w:rFonts w:cs="Arial"/>
          <w:sz w:val="22"/>
          <w:szCs w:val="22"/>
        </w:rPr>
        <w:t xml:space="preserve">The majority of the assets are held in asset classes that are sufficiently liquid to be realised easily if the Trustees require. </w:t>
      </w:r>
    </w:p>
    <w:p w14:paraId="2CE051D9" w14:textId="77777777" w:rsidR="00F14F79" w:rsidRDefault="00F14F79" w:rsidP="00CA2880">
      <w:pPr>
        <w:spacing w:line="240" w:lineRule="auto"/>
        <w:rPr>
          <w:rFonts w:cs="Arial"/>
          <w:sz w:val="22"/>
          <w:szCs w:val="22"/>
        </w:rPr>
      </w:pPr>
    </w:p>
    <w:p w14:paraId="34B0BC29" w14:textId="77777777" w:rsidR="00323903" w:rsidRDefault="00323903" w:rsidP="00CA2880">
      <w:pPr>
        <w:spacing w:line="240" w:lineRule="auto"/>
        <w:rPr>
          <w:rFonts w:cs="Arial"/>
          <w:b/>
          <w:sz w:val="22"/>
          <w:szCs w:val="22"/>
        </w:rPr>
      </w:pPr>
    </w:p>
    <w:p w14:paraId="7B2F51EC" w14:textId="77777777" w:rsidR="00323903" w:rsidRDefault="00323903" w:rsidP="00CA2880">
      <w:pPr>
        <w:spacing w:line="240" w:lineRule="auto"/>
        <w:rPr>
          <w:rFonts w:cs="Arial"/>
          <w:b/>
          <w:sz w:val="22"/>
          <w:szCs w:val="22"/>
        </w:rPr>
      </w:pPr>
      <w:r>
        <w:rPr>
          <w:rFonts w:cs="Arial"/>
          <w:b/>
          <w:sz w:val="22"/>
          <w:szCs w:val="22"/>
        </w:rPr>
        <w:t>Asset and fund allocations</w:t>
      </w:r>
    </w:p>
    <w:p w14:paraId="6166D38D" w14:textId="77777777" w:rsidR="004717E5" w:rsidRDefault="004717E5" w:rsidP="00CA2880">
      <w:pPr>
        <w:spacing w:line="240" w:lineRule="auto"/>
        <w:rPr>
          <w:rFonts w:cs="Arial"/>
          <w:sz w:val="22"/>
          <w:szCs w:val="22"/>
        </w:rPr>
      </w:pPr>
    </w:p>
    <w:p w14:paraId="40CEBC23" w14:textId="77777777" w:rsidR="0086392B" w:rsidRDefault="00D550AB" w:rsidP="00CA2880">
      <w:pPr>
        <w:spacing w:line="240" w:lineRule="auto"/>
        <w:rPr>
          <w:rFonts w:cs="Arial"/>
          <w:sz w:val="22"/>
          <w:szCs w:val="22"/>
        </w:rPr>
      </w:pPr>
      <w:r>
        <w:rPr>
          <w:rFonts w:cs="Arial"/>
          <w:sz w:val="22"/>
          <w:szCs w:val="22"/>
        </w:rPr>
        <w:t xml:space="preserve">The proportion of funds </w:t>
      </w:r>
      <w:r w:rsidR="00323903">
        <w:rPr>
          <w:rFonts w:cs="Arial"/>
          <w:sz w:val="22"/>
          <w:szCs w:val="22"/>
        </w:rPr>
        <w:t xml:space="preserve">initially </w:t>
      </w:r>
      <w:r>
        <w:rPr>
          <w:rFonts w:cs="Arial"/>
          <w:sz w:val="22"/>
          <w:szCs w:val="22"/>
        </w:rPr>
        <w:t xml:space="preserve">invested in differing </w:t>
      </w:r>
      <w:r w:rsidR="0086392B">
        <w:rPr>
          <w:rFonts w:cs="Arial"/>
          <w:sz w:val="22"/>
          <w:szCs w:val="22"/>
        </w:rPr>
        <w:t xml:space="preserve">asset classes </w:t>
      </w:r>
      <w:r>
        <w:rPr>
          <w:rFonts w:cs="Arial"/>
          <w:sz w:val="22"/>
          <w:szCs w:val="22"/>
        </w:rPr>
        <w:t>is show below.</w:t>
      </w:r>
    </w:p>
    <w:p w14:paraId="5614647A" w14:textId="77777777" w:rsidR="00F14F79" w:rsidRDefault="00F14F79" w:rsidP="00CA2880">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581"/>
      </w:tblGrid>
      <w:tr w:rsidR="00721761" w:rsidRPr="00721761" w14:paraId="263311B6" w14:textId="77777777" w:rsidTr="00721761">
        <w:tc>
          <w:tcPr>
            <w:tcW w:w="3085" w:type="dxa"/>
            <w:shd w:val="clear" w:color="auto" w:fill="auto"/>
          </w:tcPr>
          <w:p w14:paraId="675F8D63" w14:textId="77777777" w:rsidR="0086392B" w:rsidRPr="00721761" w:rsidRDefault="0086392B" w:rsidP="00721761">
            <w:pPr>
              <w:spacing w:line="240" w:lineRule="auto"/>
              <w:rPr>
                <w:rFonts w:cs="Arial"/>
                <w:b/>
                <w:sz w:val="22"/>
                <w:szCs w:val="22"/>
              </w:rPr>
            </w:pPr>
            <w:r w:rsidRPr="00721761">
              <w:rPr>
                <w:rFonts w:cs="Arial"/>
                <w:b/>
                <w:sz w:val="22"/>
                <w:szCs w:val="22"/>
              </w:rPr>
              <w:t>Asset Class</w:t>
            </w:r>
          </w:p>
        </w:tc>
        <w:tc>
          <w:tcPr>
            <w:tcW w:w="1701" w:type="dxa"/>
            <w:shd w:val="clear" w:color="auto" w:fill="auto"/>
          </w:tcPr>
          <w:p w14:paraId="57BFEC79" w14:textId="77777777" w:rsidR="0086392B" w:rsidRPr="00721761" w:rsidRDefault="0086392B" w:rsidP="00721761">
            <w:pPr>
              <w:spacing w:line="240" w:lineRule="auto"/>
              <w:rPr>
                <w:rFonts w:cs="Arial"/>
                <w:b/>
                <w:sz w:val="22"/>
                <w:szCs w:val="22"/>
              </w:rPr>
            </w:pPr>
            <w:r w:rsidRPr="00721761">
              <w:rPr>
                <w:rFonts w:cs="Arial"/>
                <w:b/>
                <w:sz w:val="22"/>
                <w:szCs w:val="22"/>
              </w:rPr>
              <w:t>Growth Fund</w:t>
            </w:r>
          </w:p>
        </w:tc>
        <w:tc>
          <w:tcPr>
            <w:tcW w:w="1701" w:type="dxa"/>
            <w:shd w:val="clear" w:color="auto" w:fill="auto"/>
          </w:tcPr>
          <w:p w14:paraId="78DFD22B" w14:textId="77777777" w:rsidR="0086392B" w:rsidRPr="00721761" w:rsidRDefault="0086392B" w:rsidP="00721761">
            <w:pPr>
              <w:spacing w:line="240" w:lineRule="auto"/>
              <w:rPr>
                <w:rFonts w:cs="Arial"/>
                <w:b/>
                <w:sz w:val="22"/>
                <w:szCs w:val="22"/>
              </w:rPr>
            </w:pPr>
            <w:r w:rsidRPr="00721761">
              <w:rPr>
                <w:rFonts w:cs="Arial"/>
                <w:b/>
                <w:sz w:val="22"/>
                <w:szCs w:val="22"/>
              </w:rPr>
              <w:t xml:space="preserve">Income Fund </w:t>
            </w:r>
          </w:p>
        </w:tc>
        <w:tc>
          <w:tcPr>
            <w:tcW w:w="1581" w:type="dxa"/>
            <w:shd w:val="clear" w:color="auto" w:fill="auto"/>
          </w:tcPr>
          <w:p w14:paraId="3D8EB142" w14:textId="77777777" w:rsidR="0086392B" w:rsidRPr="00721761" w:rsidRDefault="0086392B" w:rsidP="00721761">
            <w:pPr>
              <w:spacing w:line="240" w:lineRule="auto"/>
              <w:rPr>
                <w:rFonts w:cs="Arial"/>
                <w:b/>
                <w:sz w:val="22"/>
                <w:szCs w:val="22"/>
              </w:rPr>
            </w:pPr>
            <w:r w:rsidRPr="00721761">
              <w:rPr>
                <w:rFonts w:cs="Arial"/>
                <w:b/>
                <w:sz w:val="22"/>
                <w:szCs w:val="22"/>
              </w:rPr>
              <w:t>Total Fund</w:t>
            </w:r>
          </w:p>
        </w:tc>
      </w:tr>
      <w:tr w:rsidR="00721761" w:rsidRPr="00721761" w14:paraId="265C7FE3" w14:textId="77777777" w:rsidTr="00721761">
        <w:tc>
          <w:tcPr>
            <w:tcW w:w="3085" w:type="dxa"/>
            <w:shd w:val="clear" w:color="auto" w:fill="auto"/>
          </w:tcPr>
          <w:p w14:paraId="103B39B4" w14:textId="77777777" w:rsidR="0086392B" w:rsidRPr="00721761" w:rsidRDefault="0086392B" w:rsidP="00721761">
            <w:pPr>
              <w:spacing w:line="240" w:lineRule="auto"/>
              <w:rPr>
                <w:rFonts w:cs="Arial"/>
                <w:sz w:val="22"/>
                <w:szCs w:val="22"/>
                <w:u w:val="single"/>
              </w:rPr>
            </w:pPr>
          </w:p>
        </w:tc>
        <w:tc>
          <w:tcPr>
            <w:tcW w:w="1701" w:type="dxa"/>
            <w:shd w:val="clear" w:color="auto" w:fill="auto"/>
          </w:tcPr>
          <w:p w14:paraId="4B2165EA" w14:textId="77777777" w:rsidR="0086392B" w:rsidRPr="00721761" w:rsidRDefault="002549B4" w:rsidP="00721761">
            <w:pPr>
              <w:spacing w:line="240" w:lineRule="auto"/>
              <w:jc w:val="center"/>
              <w:rPr>
                <w:rFonts w:cs="Arial"/>
                <w:sz w:val="22"/>
                <w:szCs w:val="22"/>
              </w:rPr>
            </w:pPr>
            <w:r w:rsidRPr="00721761">
              <w:rPr>
                <w:rFonts w:cs="Arial"/>
                <w:sz w:val="22"/>
                <w:szCs w:val="22"/>
              </w:rPr>
              <w:t>%</w:t>
            </w:r>
          </w:p>
        </w:tc>
        <w:tc>
          <w:tcPr>
            <w:tcW w:w="1701" w:type="dxa"/>
            <w:shd w:val="clear" w:color="auto" w:fill="auto"/>
          </w:tcPr>
          <w:p w14:paraId="5B4F8C56" w14:textId="77777777" w:rsidR="0086392B" w:rsidRPr="00721761" w:rsidRDefault="002549B4" w:rsidP="00721761">
            <w:pPr>
              <w:spacing w:line="240" w:lineRule="auto"/>
              <w:jc w:val="center"/>
              <w:rPr>
                <w:rFonts w:cs="Arial"/>
                <w:sz w:val="22"/>
                <w:szCs w:val="22"/>
              </w:rPr>
            </w:pPr>
            <w:r w:rsidRPr="00721761">
              <w:rPr>
                <w:rFonts w:cs="Arial"/>
                <w:sz w:val="22"/>
                <w:szCs w:val="22"/>
              </w:rPr>
              <w:t>%</w:t>
            </w:r>
          </w:p>
        </w:tc>
        <w:tc>
          <w:tcPr>
            <w:tcW w:w="1581" w:type="dxa"/>
            <w:shd w:val="clear" w:color="auto" w:fill="auto"/>
          </w:tcPr>
          <w:p w14:paraId="15C7A047" w14:textId="77777777" w:rsidR="002549B4" w:rsidRPr="00721761" w:rsidRDefault="002549B4" w:rsidP="00721761">
            <w:pPr>
              <w:spacing w:line="240" w:lineRule="auto"/>
              <w:jc w:val="center"/>
              <w:rPr>
                <w:rFonts w:cs="Arial"/>
                <w:sz w:val="22"/>
                <w:szCs w:val="22"/>
              </w:rPr>
            </w:pPr>
            <w:r w:rsidRPr="00721761">
              <w:rPr>
                <w:rFonts w:cs="Arial"/>
                <w:sz w:val="22"/>
                <w:szCs w:val="22"/>
              </w:rPr>
              <w:t>%</w:t>
            </w:r>
          </w:p>
        </w:tc>
      </w:tr>
      <w:tr w:rsidR="00721761" w:rsidRPr="00721761" w14:paraId="64631A1F" w14:textId="77777777" w:rsidTr="00721761">
        <w:tc>
          <w:tcPr>
            <w:tcW w:w="3085" w:type="dxa"/>
            <w:shd w:val="clear" w:color="auto" w:fill="auto"/>
          </w:tcPr>
          <w:p w14:paraId="45A2F4DE" w14:textId="77777777" w:rsidR="0086392B" w:rsidRPr="00721761" w:rsidRDefault="0086392B" w:rsidP="00721761">
            <w:pPr>
              <w:spacing w:line="240" w:lineRule="auto"/>
              <w:rPr>
                <w:rFonts w:cs="Arial"/>
                <w:sz w:val="22"/>
                <w:szCs w:val="22"/>
                <w:u w:val="single"/>
              </w:rPr>
            </w:pPr>
            <w:r w:rsidRPr="00721761">
              <w:rPr>
                <w:rFonts w:cs="Arial"/>
                <w:sz w:val="22"/>
                <w:szCs w:val="22"/>
                <w:u w:val="single"/>
              </w:rPr>
              <w:t>Equities</w:t>
            </w:r>
          </w:p>
        </w:tc>
        <w:tc>
          <w:tcPr>
            <w:tcW w:w="1701" w:type="dxa"/>
            <w:shd w:val="clear" w:color="auto" w:fill="auto"/>
          </w:tcPr>
          <w:p w14:paraId="1798B47B"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58507F44"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232F3077" w14:textId="77777777" w:rsidR="0086392B" w:rsidRPr="00721761" w:rsidRDefault="0086392B" w:rsidP="00721761">
            <w:pPr>
              <w:spacing w:line="240" w:lineRule="auto"/>
              <w:jc w:val="center"/>
              <w:rPr>
                <w:rFonts w:cs="Arial"/>
                <w:sz w:val="22"/>
                <w:szCs w:val="22"/>
              </w:rPr>
            </w:pPr>
          </w:p>
        </w:tc>
      </w:tr>
      <w:tr w:rsidR="00721761" w:rsidRPr="00721761" w14:paraId="1DD57096" w14:textId="77777777" w:rsidTr="00721761">
        <w:tc>
          <w:tcPr>
            <w:tcW w:w="3085" w:type="dxa"/>
            <w:shd w:val="clear" w:color="auto" w:fill="auto"/>
          </w:tcPr>
          <w:p w14:paraId="48EE0FBF" w14:textId="77777777" w:rsidR="0086392B" w:rsidRPr="00721761" w:rsidRDefault="0086392B" w:rsidP="00721761">
            <w:pPr>
              <w:spacing w:line="240" w:lineRule="auto"/>
              <w:rPr>
                <w:rFonts w:cs="Arial"/>
                <w:sz w:val="22"/>
                <w:szCs w:val="22"/>
              </w:rPr>
            </w:pPr>
            <w:r w:rsidRPr="00721761">
              <w:rPr>
                <w:rFonts w:cs="Arial"/>
                <w:sz w:val="22"/>
                <w:szCs w:val="22"/>
              </w:rPr>
              <w:t xml:space="preserve">North American </w:t>
            </w:r>
          </w:p>
        </w:tc>
        <w:tc>
          <w:tcPr>
            <w:tcW w:w="1701" w:type="dxa"/>
            <w:shd w:val="clear" w:color="auto" w:fill="auto"/>
          </w:tcPr>
          <w:p w14:paraId="6FDEEF38" w14:textId="4B454932" w:rsidR="0086392B" w:rsidRPr="00721761" w:rsidRDefault="002549B4" w:rsidP="00721761">
            <w:pPr>
              <w:spacing w:line="240" w:lineRule="auto"/>
              <w:jc w:val="center"/>
              <w:rPr>
                <w:rFonts w:cs="Arial"/>
                <w:sz w:val="22"/>
                <w:szCs w:val="22"/>
              </w:rPr>
            </w:pPr>
            <w:r w:rsidRPr="00721761">
              <w:rPr>
                <w:rFonts w:cs="Arial"/>
                <w:sz w:val="22"/>
                <w:szCs w:val="22"/>
              </w:rPr>
              <w:t>3</w:t>
            </w:r>
            <w:r w:rsidR="00943DA0">
              <w:rPr>
                <w:rFonts w:cs="Arial"/>
                <w:sz w:val="22"/>
                <w:szCs w:val="22"/>
              </w:rPr>
              <w:t>3</w:t>
            </w:r>
          </w:p>
        </w:tc>
        <w:tc>
          <w:tcPr>
            <w:tcW w:w="1701" w:type="dxa"/>
            <w:shd w:val="clear" w:color="auto" w:fill="auto"/>
          </w:tcPr>
          <w:p w14:paraId="568C3991" w14:textId="59557DFC"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E534B3">
              <w:rPr>
                <w:rFonts w:cs="Arial"/>
                <w:sz w:val="22"/>
                <w:szCs w:val="22"/>
              </w:rPr>
              <w:t>8</w:t>
            </w:r>
          </w:p>
        </w:tc>
        <w:tc>
          <w:tcPr>
            <w:tcW w:w="1581" w:type="dxa"/>
            <w:shd w:val="clear" w:color="auto" w:fill="auto"/>
          </w:tcPr>
          <w:p w14:paraId="5C896430" w14:textId="21D98F51" w:rsidR="0086392B" w:rsidRPr="00721761" w:rsidRDefault="004265AA" w:rsidP="00721761">
            <w:pPr>
              <w:spacing w:line="240" w:lineRule="auto"/>
              <w:jc w:val="center"/>
              <w:rPr>
                <w:rFonts w:cs="Arial"/>
                <w:sz w:val="22"/>
                <w:szCs w:val="22"/>
              </w:rPr>
            </w:pPr>
            <w:r w:rsidRPr="00721761">
              <w:rPr>
                <w:rFonts w:cs="Arial"/>
                <w:sz w:val="22"/>
                <w:szCs w:val="22"/>
              </w:rPr>
              <w:t>2</w:t>
            </w:r>
            <w:r w:rsidR="00E534B3">
              <w:rPr>
                <w:rFonts w:cs="Arial"/>
                <w:sz w:val="22"/>
                <w:szCs w:val="22"/>
              </w:rPr>
              <w:t>0</w:t>
            </w:r>
          </w:p>
        </w:tc>
      </w:tr>
      <w:tr w:rsidR="00721761" w:rsidRPr="00721761" w14:paraId="4B65AD46" w14:textId="77777777" w:rsidTr="00721761">
        <w:tc>
          <w:tcPr>
            <w:tcW w:w="3085" w:type="dxa"/>
            <w:shd w:val="clear" w:color="auto" w:fill="auto"/>
          </w:tcPr>
          <w:p w14:paraId="204CFA98" w14:textId="77777777" w:rsidR="002549B4" w:rsidRPr="00721761" w:rsidRDefault="002549B4" w:rsidP="00721761">
            <w:pPr>
              <w:spacing w:line="240" w:lineRule="auto"/>
              <w:rPr>
                <w:rFonts w:cs="Arial"/>
                <w:sz w:val="22"/>
                <w:szCs w:val="22"/>
              </w:rPr>
            </w:pPr>
            <w:r w:rsidRPr="00721761">
              <w:rPr>
                <w:rFonts w:cs="Arial"/>
                <w:sz w:val="22"/>
                <w:szCs w:val="22"/>
              </w:rPr>
              <w:t>UK</w:t>
            </w:r>
          </w:p>
        </w:tc>
        <w:tc>
          <w:tcPr>
            <w:tcW w:w="1701" w:type="dxa"/>
            <w:shd w:val="clear" w:color="auto" w:fill="auto"/>
          </w:tcPr>
          <w:p w14:paraId="4436535D" w14:textId="3A549F31" w:rsidR="002549B4" w:rsidRPr="00721761" w:rsidRDefault="00943DA0" w:rsidP="00721761">
            <w:pPr>
              <w:spacing w:line="240" w:lineRule="auto"/>
              <w:jc w:val="center"/>
              <w:rPr>
                <w:rFonts w:cs="Arial"/>
                <w:sz w:val="22"/>
                <w:szCs w:val="22"/>
              </w:rPr>
            </w:pPr>
            <w:r>
              <w:rPr>
                <w:rFonts w:cs="Arial"/>
                <w:sz w:val="22"/>
                <w:szCs w:val="22"/>
              </w:rPr>
              <w:t>15</w:t>
            </w:r>
          </w:p>
        </w:tc>
        <w:tc>
          <w:tcPr>
            <w:tcW w:w="1701" w:type="dxa"/>
            <w:shd w:val="clear" w:color="auto" w:fill="auto"/>
          </w:tcPr>
          <w:p w14:paraId="7328EED3" w14:textId="2074A11E" w:rsidR="002549B4" w:rsidRPr="00721761" w:rsidRDefault="00943DA0" w:rsidP="00721761">
            <w:pPr>
              <w:spacing w:line="240" w:lineRule="auto"/>
              <w:jc w:val="center"/>
              <w:rPr>
                <w:rFonts w:cs="Arial"/>
                <w:sz w:val="22"/>
                <w:szCs w:val="22"/>
              </w:rPr>
            </w:pPr>
            <w:r>
              <w:rPr>
                <w:rFonts w:cs="Arial"/>
                <w:sz w:val="22"/>
                <w:szCs w:val="22"/>
              </w:rPr>
              <w:t>11</w:t>
            </w:r>
          </w:p>
        </w:tc>
        <w:tc>
          <w:tcPr>
            <w:tcW w:w="1581" w:type="dxa"/>
            <w:shd w:val="clear" w:color="auto" w:fill="auto"/>
          </w:tcPr>
          <w:p w14:paraId="045EFEE8" w14:textId="5DDEE9E1" w:rsidR="002549B4" w:rsidRPr="00721761" w:rsidRDefault="004265AA" w:rsidP="00721761">
            <w:pPr>
              <w:spacing w:line="240" w:lineRule="auto"/>
              <w:jc w:val="center"/>
              <w:rPr>
                <w:rFonts w:cs="Arial"/>
                <w:sz w:val="22"/>
                <w:szCs w:val="22"/>
              </w:rPr>
            </w:pPr>
            <w:r w:rsidRPr="00721761">
              <w:rPr>
                <w:rFonts w:cs="Arial"/>
                <w:sz w:val="22"/>
                <w:szCs w:val="22"/>
              </w:rPr>
              <w:t>1</w:t>
            </w:r>
            <w:r w:rsidR="00943DA0">
              <w:rPr>
                <w:rFonts w:cs="Arial"/>
                <w:sz w:val="22"/>
                <w:szCs w:val="22"/>
              </w:rPr>
              <w:t>3</w:t>
            </w:r>
          </w:p>
        </w:tc>
      </w:tr>
      <w:tr w:rsidR="00721761" w:rsidRPr="00721761" w14:paraId="65E19A43" w14:textId="77777777" w:rsidTr="00721761">
        <w:tc>
          <w:tcPr>
            <w:tcW w:w="3085" w:type="dxa"/>
            <w:shd w:val="clear" w:color="auto" w:fill="auto"/>
          </w:tcPr>
          <w:p w14:paraId="16B5299A" w14:textId="77777777" w:rsidR="0086392B" w:rsidRPr="00721761" w:rsidRDefault="0086392B" w:rsidP="00721761">
            <w:pPr>
              <w:spacing w:line="240" w:lineRule="auto"/>
              <w:rPr>
                <w:rFonts w:cs="Arial"/>
                <w:sz w:val="22"/>
                <w:szCs w:val="22"/>
              </w:rPr>
            </w:pPr>
            <w:r w:rsidRPr="00721761">
              <w:rPr>
                <w:rFonts w:cs="Arial"/>
                <w:sz w:val="22"/>
                <w:szCs w:val="22"/>
              </w:rPr>
              <w:t>European</w:t>
            </w:r>
          </w:p>
        </w:tc>
        <w:tc>
          <w:tcPr>
            <w:tcW w:w="1701" w:type="dxa"/>
            <w:shd w:val="clear" w:color="auto" w:fill="auto"/>
          </w:tcPr>
          <w:p w14:paraId="3F09C440" w14:textId="4142DC5E" w:rsidR="0086392B" w:rsidRPr="00721761" w:rsidRDefault="002549B4" w:rsidP="00721761">
            <w:pPr>
              <w:spacing w:line="240" w:lineRule="auto"/>
              <w:jc w:val="center"/>
              <w:rPr>
                <w:rFonts w:cs="Arial"/>
                <w:sz w:val="22"/>
                <w:szCs w:val="22"/>
              </w:rPr>
            </w:pPr>
            <w:r w:rsidRPr="00721761">
              <w:rPr>
                <w:rFonts w:cs="Arial"/>
                <w:sz w:val="22"/>
                <w:szCs w:val="22"/>
              </w:rPr>
              <w:t>1</w:t>
            </w:r>
            <w:r w:rsidR="00943DA0">
              <w:rPr>
                <w:rFonts w:cs="Arial"/>
                <w:sz w:val="22"/>
                <w:szCs w:val="22"/>
              </w:rPr>
              <w:t>5</w:t>
            </w:r>
          </w:p>
        </w:tc>
        <w:tc>
          <w:tcPr>
            <w:tcW w:w="1701" w:type="dxa"/>
            <w:shd w:val="clear" w:color="auto" w:fill="auto"/>
          </w:tcPr>
          <w:p w14:paraId="74BA93C7" w14:textId="1A5E61FF"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E534B3">
              <w:rPr>
                <w:rFonts w:cs="Arial"/>
                <w:sz w:val="22"/>
                <w:szCs w:val="22"/>
              </w:rPr>
              <w:t>8</w:t>
            </w:r>
          </w:p>
        </w:tc>
        <w:tc>
          <w:tcPr>
            <w:tcW w:w="1581" w:type="dxa"/>
            <w:shd w:val="clear" w:color="auto" w:fill="auto"/>
          </w:tcPr>
          <w:p w14:paraId="34C432E7" w14:textId="12DB16AF" w:rsidR="0086392B" w:rsidRPr="00721761" w:rsidRDefault="00943DA0" w:rsidP="00721761">
            <w:pPr>
              <w:spacing w:line="240" w:lineRule="auto"/>
              <w:jc w:val="center"/>
              <w:rPr>
                <w:rFonts w:cs="Arial"/>
                <w:sz w:val="22"/>
                <w:szCs w:val="22"/>
              </w:rPr>
            </w:pPr>
            <w:r>
              <w:rPr>
                <w:rFonts w:cs="Arial"/>
                <w:sz w:val="22"/>
                <w:szCs w:val="22"/>
              </w:rPr>
              <w:t>1</w:t>
            </w:r>
            <w:r w:rsidR="00E534B3">
              <w:rPr>
                <w:rFonts w:cs="Arial"/>
                <w:sz w:val="22"/>
                <w:szCs w:val="22"/>
              </w:rPr>
              <w:t>1</w:t>
            </w:r>
          </w:p>
        </w:tc>
      </w:tr>
      <w:tr w:rsidR="00721761" w:rsidRPr="00721761" w14:paraId="4DF30AF6" w14:textId="77777777" w:rsidTr="00721761">
        <w:tc>
          <w:tcPr>
            <w:tcW w:w="3085" w:type="dxa"/>
            <w:shd w:val="clear" w:color="auto" w:fill="auto"/>
          </w:tcPr>
          <w:p w14:paraId="1AE7EE15" w14:textId="262BEB05" w:rsidR="0086392B" w:rsidRPr="00721761" w:rsidRDefault="00943DA0" w:rsidP="00721761">
            <w:pPr>
              <w:spacing w:line="240" w:lineRule="auto"/>
              <w:rPr>
                <w:rFonts w:cs="Arial"/>
                <w:sz w:val="22"/>
                <w:szCs w:val="22"/>
              </w:rPr>
            </w:pPr>
            <w:r>
              <w:rPr>
                <w:rFonts w:cs="Arial"/>
                <w:sz w:val="22"/>
                <w:szCs w:val="22"/>
              </w:rPr>
              <w:t>Asia &amp; Pacific</w:t>
            </w:r>
          </w:p>
        </w:tc>
        <w:tc>
          <w:tcPr>
            <w:tcW w:w="1701" w:type="dxa"/>
            <w:shd w:val="clear" w:color="auto" w:fill="auto"/>
          </w:tcPr>
          <w:p w14:paraId="4EA56B21" w14:textId="681F9881" w:rsidR="0086392B" w:rsidRPr="00721761" w:rsidRDefault="00943DA0" w:rsidP="00721761">
            <w:pPr>
              <w:spacing w:line="240" w:lineRule="auto"/>
              <w:jc w:val="center"/>
              <w:rPr>
                <w:rFonts w:cs="Arial"/>
                <w:sz w:val="22"/>
                <w:szCs w:val="22"/>
              </w:rPr>
            </w:pPr>
            <w:r>
              <w:rPr>
                <w:rFonts w:cs="Arial"/>
                <w:sz w:val="22"/>
                <w:szCs w:val="22"/>
              </w:rPr>
              <w:t>13</w:t>
            </w:r>
          </w:p>
        </w:tc>
        <w:tc>
          <w:tcPr>
            <w:tcW w:w="1701" w:type="dxa"/>
            <w:shd w:val="clear" w:color="auto" w:fill="auto"/>
          </w:tcPr>
          <w:p w14:paraId="3B0BA01D" w14:textId="2403A51B"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2</w:t>
            </w:r>
          </w:p>
        </w:tc>
        <w:tc>
          <w:tcPr>
            <w:tcW w:w="1581" w:type="dxa"/>
            <w:shd w:val="clear" w:color="auto" w:fill="auto"/>
          </w:tcPr>
          <w:p w14:paraId="480A4B2E" w14:textId="2E434B08" w:rsidR="0086392B" w:rsidRPr="00721761" w:rsidRDefault="004265AA"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8</w:t>
            </w:r>
          </w:p>
        </w:tc>
      </w:tr>
      <w:tr w:rsidR="00721761" w:rsidRPr="00721761" w14:paraId="3BDDE4AA" w14:textId="77777777" w:rsidTr="00721761">
        <w:tc>
          <w:tcPr>
            <w:tcW w:w="3085" w:type="dxa"/>
            <w:shd w:val="clear" w:color="auto" w:fill="auto"/>
          </w:tcPr>
          <w:p w14:paraId="7FF864BE" w14:textId="77777777" w:rsidR="0086392B" w:rsidRPr="00721761" w:rsidRDefault="0086392B" w:rsidP="00721761">
            <w:pPr>
              <w:spacing w:line="240" w:lineRule="auto"/>
              <w:rPr>
                <w:rFonts w:cs="Arial"/>
                <w:sz w:val="22"/>
                <w:szCs w:val="22"/>
              </w:rPr>
            </w:pPr>
            <w:r w:rsidRPr="00721761">
              <w:rPr>
                <w:rFonts w:cs="Arial"/>
                <w:sz w:val="22"/>
                <w:szCs w:val="22"/>
              </w:rPr>
              <w:t>Other</w:t>
            </w:r>
          </w:p>
        </w:tc>
        <w:tc>
          <w:tcPr>
            <w:tcW w:w="1701" w:type="dxa"/>
            <w:shd w:val="clear" w:color="auto" w:fill="auto"/>
          </w:tcPr>
          <w:p w14:paraId="773DC402" w14:textId="44187891"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2</w:t>
            </w:r>
          </w:p>
        </w:tc>
        <w:tc>
          <w:tcPr>
            <w:tcW w:w="1701" w:type="dxa"/>
            <w:shd w:val="clear" w:color="auto" w:fill="auto"/>
          </w:tcPr>
          <w:p w14:paraId="17956BA7" w14:textId="3A634738"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0</w:t>
            </w:r>
          </w:p>
        </w:tc>
        <w:tc>
          <w:tcPr>
            <w:tcW w:w="1581" w:type="dxa"/>
            <w:shd w:val="clear" w:color="auto" w:fill="auto"/>
          </w:tcPr>
          <w:p w14:paraId="5A4FA0EF" w14:textId="74B4E066" w:rsidR="0086392B" w:rsidRPr="00721761" w:rsidRDefault="004265AA"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1</w:t>
            </w:r>
          </w:p>
        </w:tc>
      </w:tr>
      <w:tr w:rsidR="00721761" w:rsidRPr="00721761" w14:paraId="36AE1CEC" w14:textId="77777777" w:rsidTr="00721761">
        <w:tc>
          <w:tcPr>
            <w:tcW w:w="3085" w:type="dxa"/>
            <w:shd w:val="clear" w:color="auto" w:fill="auto"/>
          </w:tcPr>
          <w:p w14:paraId="4A9A208E" w14:textId="77777777" w:rsidR="0086392B" w:rsidRPr="00721761" w:rsidRDefault="002549B4" w:rsidP="00721761">
            <w:pPr>
              <w:spacing w:line="240" w:lineRule="auto"/>
              <w:rPr>
                <w:rFonts w:cs="Arial"/>
                <w:sz w:val="22"/>
                <w:szCs w:val="22"/>
              </w:rPr>
            </w:pPr>
            <w:r w:rsidRPr="00721761">
              <w:rPr>
                <w:rFonts w:cs="Arial"/>
                <w:sz w:val="22"/>
                <w:szCs w:val="22"/>
              </w:rPr>
              <w:t>Total e</w:t>
            </w:r>
            <w:r w:rsidR="0086392B" w:rsidRPr="00721761">
              <w:rPr>
                <w:rFonts w:cs="Arial"/>
                <w:sz w:val="22"/>
                <w:szCs w:val="22"/>
              </w:rPr>
              <w:t>quities</w:t>
            </w:r>
          </w:p>
        </w:tc>
        <w:tc>
          <w:tcPr>
            <w:tcW w:w="1701" w:type="dxa"/>
            <w:shd w:val="clear" w:color="auto" w:fill="auto"/>
          </w:tcPr>
          <w:p w14:paraId="15DFB66A" w14:textId="221DC183" w:rsidR="0086392B" w:rsidRPr="00721761" w:rsidRDefault="002549B4" w:rsidP="00721761">
            <w:pPr>
              <w:spacing w:line="240" w:lineRule="auto"/>
              <w:jc w:val="center"/>
              <w:rPr>
                <w:rFonts w:cs="Arial"/>
                <w:sz w:val="22"/>
                <w:szCs w:val="22"/>
              </w:rPr>
            </w:pPr>
            <w:r w:rsidRPr="00721761">
              <w:rPr>
                <w:rFonts w:cs="Arial"/>
                <w:sz w:val="22"/>
                <w:szCs w:val="22"/>
              </w:rPr>
              <w:t>7</w:t>
            </w:r>
            <w:r w:rsidR="00943DA0">
              <w:rPr>
                <w:rFonts w:cs="Arial"/>
                <w:sz w:val="22"/>
                <w:szCs w:val="22"/>
              </w:rPr>
              <w:t>8</w:t>
            </w:r>
          </w:p>
        </w:tc>
        <w:tc>
          <w:tcPr>
            <w:tcW w:w="1701" w:type="dxa"/>
            <w:shd w:val="clear" w:color="auto" w:fill="auto"/>
          </w:tcPr>
          <w:p w14:paraId="4265B748" w14:textId="3898FC0C" w:rsidR="0086392B" w:rsidRPr="00721761" w:rsidRDefault="00E534B3" w:rsidP="00721761">
            <w:pPr>
              <w:spacing w:line="240" w:lineRule="auto"/>
              <w:jc w:val="center"/>
              <w:rPr>
                <w:rFonts w:cs="Arial"/>
                <w:sz w:val="22"/>
                <w:szCs w:val="22"/>
              </w:rPr>
            </w:pPr>
            <w:r>
              <w:rPr>
                <w:rFonts w:cs="Arial"/>
                <w:sz w:val="22"/>
                <w:szCs w:val="22"/>
              </w:rPr>
              <w:t>29</w:t>
            </w:r>
          </w:p>
        </w:tc>
        <w:tc>
          <w:tcPr>
            <w:tcW w:w="1581" w:type="dxa"/>
            <w:shd w:val="clear" w:color="auto" w:fill="auto"/>
          </w:tcPr>
          <w:p w14:paraId="53351687" w14:textId="150E6EDF" w:rsidR="0086392B" w:rsidRPr="00721761" w:rsidRDefault="00943DA0" w:rsidP="00721761">
            <w:pPr>
              <w:spacing w:line="240" w:lineRule="auto"/>
              <w:jc w:val="center"/>
              <w:rPr>
                <w:rFonts w:cs="Arial"/>
                <w:sz w:val="22"/>
                <w:szCs w:val="22"/>
              </w:rPr>
            </w:pPr>
            <w:r>
              <w:rPr>
                <w:rFonts w:cs="Arial"/>
                <w:sz w:val="22"/>
                <w:szCs w:val="22"/>
              </w:rPr>
              <w:t>5</w:t>
            </w:r>
            <w:r w:rsidR="00E534B3">
              <w:rPr>
                <w:rFonts w:cs="Arial"/>
                <w:sz w:val="22"/>
                <w:szCs w:val="22"/>
              </w:rPr>
              <w:t>3</w:t>
            </w:r>
          </w:p>
        </w:tc>
      </w:tr>
      <w:tr w:rsidR="00721761" w:rsidRPr="00721761" w14:paraId="6F8484B2" w14:textId="77777777" w:rsidTr="00721761">
        <w:tc>
          <w:tcPr>
            <w:tcW w:w="3085" w:type="dxa"/>
            <w:shd w:val="clear" w:color="auto" w:fill="auto"/>
          </w:tcPr>
          <w:p w14:paraId="50986871" w14:textId="77777777" w:rsidR="0086392B" w:rsidRPr="00721761" w:rsidRDefault="0086392B" w:rsidP="00721761">
            <w:pPr>
              <w:spacing w:line="240" w:lineRule="auto"/>
              <w:rPr>
                <w:rFonts w:cs="Arial"/>
                <w:sz w:val="22"/>
                <w:szCs w:val="22"/>
              </w:rPr>
            </w:pPr>
          </w:p>
        </w:tc>
        <w:tc>
          <w:tcPr>
            <w:tcW w:w="1701" w:type="dxa"/>
            <w:shd w:val="clear" w:color="auto" w:fill="auto"/>
          </w:tcPr>
          <w:p w14:paraId="01EBA7AC"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488C252F"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437B62A7" w14:textId="77777777" w:rsidR="0086392B" w:rsidRPr="00721761" w:rsidRDefault="0086392B" w:rsidP="00721761">
            <w:pPr>
              <w:spacing w:line="240" w:lineRule="auto"/>
              <w:jc w:val="center"/>
              <w:rPr>
                <w:rFonts w:cs="Arial"/>
                <w:sz w:val="22"/>
                <w:szCs w:val="22"/>
              </w:rPr>
            </w:pPr>
          </w:p>
        </w:tc>
      </w:tr>
      <w:tr w:rsidR="00721761" w:rsidRPr="00721761" w14:paraId="2841030A" w14:textId="77777777" w:rsidTr="00721761">
        <w:tc>
          <w:tcPr>
            <w:tcW w:w="3085" w:type="dxa"/>
            <w:shd w:val="clear" w:color="auto" w:fill="auto"/>
          </w:tcPr>
          <w:p w14:paraId="49E38D4F" w14:textId="77777777" w:rsidR="0086392B" w:rsidRPr="00721761" w:rsidRDefault="002549B4" w:rsidP="00721761">
            <w:pPr>
              <w:spacing w:line="240" w:lineRule="auto"/>
              <w:rPr>
                <w:rFonts w:cs="Arial"/>
                <w:sz w:val="22"/>
                <w:szCs w:val="22"/>
                <w:u w:val="single"/>
              </w:rPr>
            </w:pPr>
            <w:r w:rsidRPr="00721761">
              <w:rPr>
                <w:rFonts w:cs="Arial"/>
                <w:sz w:val="22"/>
                <w:szCs w:val="22"/>
                <w:u w:val="single"/>
              </w:rPr>
              <w:t>Cash &amp; f</w:t>
            </w:r>
            <w:r w:rsidR="0086392B" w:rsidRPr="00721761">
              <w:rPr>
                <w:rFonts w:cs="Arial"/>
                <w:sz w:val="22"/>
                <w:szCs w:val="22"/>
                <w:u w:val="single"/>
              </w:rPr>
              <w:t>ixed interest</w:t>
            </w:r>
          </w:p>
        </w:tc>
        <w:tc>
          <w:tcPr>
            <w:tcW w:w="1701" w:type="dxa"/>
            <w:shd w:val="clear" w:color="auto" w:fill="auto"/>
          </w:tcPr>
          <w:p w14:paraId="39B0F83A"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552F8B75"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1C05DECC" w14:textId="77777777" w:rsidR="0086392B" w:rsidRPr="00721761" w:rsidRDefault="0086392B" w:rsidP="00721761">
            <w:pPr>
              <w:spacing w:line="240" w:lineRule="auto"/>
              <w:jc w:val="center"/>
              <w:rPr>
                <w:rFonts w:cs="Arial"/>
                <w:sz w:val="22"/>
                <w:szCs w:val="22"/>
              </w:rPr>
            </w:pPr>
          </w:p>
        </w:tc>
      </w:tr>
      <w:tr w:rsidR="00721761" w:rsidRPr="00721761" w14:paraId="09740497" w14:textId="77777777" w:rsidTr="00721761">
        <w:tc>
          <w:tcPr>
            <w:tcW w:w="3085" w:type="dxa"/>
            <w:shd w:val="clear" w:color="auto" w:fill="auto"/>
          </w:tcPr>
          <w:p w14:paraId="611E62AF" w14:textId="77777777" w:rsidR="0086392B" w:rsidRPr="00721761" w:rsidRDefault="002549B4" w:rsidP="00721761">
            <w:pPr>
              <w:spacing w:line="240" w:lineRule="auto"/>
              <w:rPr>
                <w:rFonts w:cs="Arial"/>
                <w:sz w:val="22"/>
                <w:szCs w:val="22"/>
              </w:rPr>
            </w:pPr>
            <w:r w:rsidRPr="00721761">
              <w:rPr>
                <w:rFonts w:cs="Arial"/>
                <w:sz w:val="22"/>
                <w:szCs w:val="22"/>
              </w:rPr>
              <w:t>Global</w:t>
            </w:r>
          </w:p>
        </w:tc>
        <w:tc>
          <w:tcPr>
            <w:tcW w:w="1701" w:type="dxa"/>
            <w:shd w:val="clear" w:color="auto" w:fill="auto"/>
          </w:tcPr>
          <w:p w14:paraId="65BCBB6C" w14:textId="7BC0C053"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9</w:t>
            </w:r>
          </w:p>
        </w:tc>
        <w:tc>
          <w:tcPr>
            <w:tcW w:w="1701" w:type="dxa"/>
            <w:shd w:val="clear" w:color="auto" w:fill="auto"/>
          </w:tcPr>
          <w:p w14:paraId="146F1500" w14:textId="678A1C11" w:rsidR="0086392B" w:rsidRPr="00721761" w:rsidRDefault="002549B4" w:rsidP="00721761">
            <w:pPr>
              <w:spacing w:line="240" w:lineRule="auto"/>
              <w:jc w:val="center"/>
              <w:rPr>
                <w:rFonts w:cs="Arial"/>
                <w:sz w:val="22"/>
                <w:szCs w:val="22"/>
              </w:rPr>
            </w:pPr>
            <w:r w:rsidRPr="00721761">
              <w:rPr>
                <w:rFonts w:cs="Arial"/>
                <w:sz w:val="22"/>
                <w:szCs w:val="22"/>
              </w:rPr>
              <w:t>4</w:t>
            </w:r>
            <w:r w:rsidR="00E534B3">
              <w:rPr>
                <w:rFonts w:cs="Arial"/>
                <w:sz w:val="22"/>
                <w:szCs w:val="22"/>
              </w:rPr>
              <w:t>2</w:t>
            </w:r>
          </w:p>
        </w:tc>
        <w:tc>
          <w:tcPr>
            <w:tcW w:w="1581" w:type="dxa"/>
            <w:shd w:val="clear" w:color="auto" w:fill="auto"/>
          </w:tcPr>
          <w:p w14:paraId="048550A9" w14:textId="1C578C64" w:rsidR="0086392B" w:rsidRPr="00721761" w:rsidRDefault="004265AA" w:rsidP="00721761">
            <w:pPr>
              <w:spacing w:line="240" w:lineRule="auto"/>
              <w:jc w:val="center"/>
              <w:rPr>
                <w:rFonts w:cs="Arial"/>
                <w:sz w:val="22"/>
                <w:szCs w:val="22"/>
              </w:rPr>
            </w:pPr>
            <w:r w:rsidRPr="00721761">
              <w:rPr>
                <w:rFonts w:cs="Arial"/>
                <w:sz w:val="22"/>
                <w:szCs w:val="22"/>
              </w:rPr>
              <w:t>2</w:t>
            </w:r>
            <w:r w:rsidR="00E534B3">
              <w:rPr>
                <w:rFonts w:cs="Arial"/>
                <w:sz w:val="22"/>
                <w:szCs w:val="22"/>
              </w:rPr>
              <w:t>6</w:t>
            </w:r>
          </w:p>
        </w:tc>
      </w:tr>
      <w:tr w:rsidR="00721761" w:rsidRPr="00721761" w14:paraId="07BB2049" w14:textId="77777777" w:rsidTr="00721761">
        <w:tc>
          <w:tcPr>
            <w:tcW w:w="3085" w:type="dxa"/>
            <w:shd w:val="clear" w:color="auto" w:fill="auto"/>
          </w:tcPr>
          <w:p w14:paraId="42E0DA3D" w14:textId="77777777" w:rsidR="0086392B" w:rsidRPr="00721761" w:rsidRDefault="002549B4" w:rsidP="00721761">
            <w:pPr>
              <w:spacing w:line="240" w:lineRule="auto"/>
              <w:rPr>
                <w:rFonts w:cs="Arial"/>
                <w:sz w:val="22"/>
                <w:szCs w:val="22"/>
              </w:rPr>
            </w:pPr>
            <w:r w:rsidRPr="00721761">
              <w:rPr>
                <w:rFonts w:cs="Arial"/>
                <w:sz w:val="22"/>
                <w:szCs w:val="22"/>
              </w:rPr>
              <w:t>UK</w:t>
            </w:r>
          </w:p>
        </w:tc>
        <w:tc>
          <w:tcPr>
            <w:tcW w:w="1701" w:type="dxa"/>
            <w:shd w:val="clear" w:color="auto" w:fill="auto"/>
          </w:tcPr>
          <w:p w14:paraId="472137A4" w14:textId="77777777" w:rsidR="0086392B" w:rsidRPr="00721761" w:rsidRDefault="002549B4" w:rsidP="00721761">
            <w:pPr>
              <w:spacing w:line="240" w:lineRule="auto"/>
              <w:jc w:val="center"/>
              <w:rPr>
                <w:rFonts w:cs="Arial"/>
                <w:sz w:val="22"/>
                <w:szCs w:val="22"/>
              </w:rPr>
            </w:pPr>
            <w:r w:rsidRPr="00721761">
              <w:rPr>
                <w:rFonts w:cs="Arial"/>
                <w:sz w:val="22"/>
                <w:szCs w:val="22"/>
              </w:rPr>
              <w:t xml:space="preserve">  3</w:t>
            </w:r>
          </w:p>
        </w:tc>
        <w:tc>
          <w:tcPr>
            <w:tcW w:w="1701" w:type="dxa"/>
            <w:shd w:val="clear" w:color="auto" w:fill="auto"/>
          </w:tcPr>
          <w:p w14:paraId="6060747B" w14:textId="19226017" w:rsidR="0086392B" w:rsidRPr="00721761" w:rsidRDefault="002549B4" w:rsidP="00721761">
            <w:pPr>
              <w:spacing w:line="240" w:lineRule="auto"/>
              <w:jc w:val="center"/>
              <w:rPr>
                <w:rFonts w:cs="Arial"/>
                <w:sz w:val="22"/>
                <w:szCs w:val="22"/>
              </w:rPr>
            </w:pPr>
            <w:r w:rsidRPr="00721761">
              <w:rPr>
                <w:rFonts w:cs="Arial"/>
                <w:sz w:val="22"/>
                <w:szCs w:val="22"/>
              </w:rPr>
              <w:t>1</w:t>
            </w:r>
            <w:r w:rsidR="00943DA0">
              <w:rPr>
                <w:rFonts w:cs="Arial"/>
                <w:sz w:val="22"/>
                <w:szCs w:val="22"/>
              </w:rPr>
              <w:t>5</w:t>
            </w:r>
          </w:p>
        </w:tc>
        <w:tc>
          <w:tcPr>
            <w:tcW w:w="1581" w:type="dxa"/>
            <w:shd w:val="clear" w:color="auto" w:fill="auto"/>
          </w:tcPr>
          <w:p w14:paraId="6F616DB8" w14:textId="2D6CA43D" w:rsidR="0086392B" w:rsidRPr="00721761" w:rsidRDefault="004265AA"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9</w:t>
            </w:r>
          </w:p>
        </w:tc>
      </w:tr>
      <w:tr w:rsidR="00721761" w:rsidRPr="00721761" w14:paraId="1CAF328B" w14:textId="77777777" w:rsidTr="00721761">
        <w:tc>
          <w:tcPr>
            <w:tcW w:w="3085" w:type="dxa"/>
            <w:shd w:val="clear" w:color="auto" w:fill="auto"/>
          </w:tcPr>
          <w:p w14:paraId="30D24E7D" w14:textId="77777777" w:rsidR="0086392B" w:rsidRPr="00721761" w:rsidRDefault="002549B4" w:rsidP="00721761">
            <w:pPr>
              <w:spacing w:line="240" w:lineRule="auto"/>
              <w:rPr>
                <w:rFonts w:cs="Arial"/>
                <w:sz w:val="22"/>
                <w:szCs w:val="22"/>
              </w:rPr>
            </w:pPr>
            <w:r w:rsidRPr="00721761">
              <w:rPr>
                <w:rFonts w:cs="Arial"/>
                <w:sz w:val="22"/>
                <w:szCs w:val="22"/>
              </w:rPr>
              <w:t>Money Market</w:t>
            </w:r>
          </w:p>
        </w:tc>
        <w:tc>
          <w:tcPr>
            <w:tcW w:w="1701" w:type="dxa"/>
            <w:shd w:val="clear" w:color="auto" w:fill="auto"/>
          </w:tcPr>
          <w:p w14:paraId="0F19CD35" w14:textId="355E3B01" w:rsidR="0086392B" w:rsidRPr="00721761" w:rsidRDefault="00943DA0" w:rsidP="00721761">
            <w:pPr>
              <w:spacing w:line="240" w:lineRule="auto"/>
              <w:jc w:val="center"/>
              <w:rPr>
                <w:rFonts w:cs="Arial"/>
                <w:sz w:val="22"/>
                <w:szCs w:val="22"/>
              </w:rPr>
            </w:pPr>
            <w:r>
              <w:rPr>
                <w:rFonts w:cs="Arial"/>
                <w:sz w:val="22"/>
                <w:szCs w:val="22"/>
              </w:rPr>
              <w:t xml:space="preserve">  6</w:t>
            </w:r>
          </w:p>
        </w:tc>
        <w:tc>
          <w:tcPr>
            <w:tcW w:w="1701" w:type="dxa"/>
            <w:shd w:val="clear" w:color="auto" w:fill="auto"/>
          </w:tcPr>
          <w:p w14:paraId="6BE21BC7" w14:textId="7446567F"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7</w:t>
            </w:r>
          </w:p>
        </w:tc>
        <w:tc>
          <w:tcPr>
            <w:tcW w:w="1581" w:type="dxa"/>
            <w:shd w:val="clear" w:color="auto" w:fill="auto"/>
          </w:tcPr>
          <w:p w14:paraId="5C50A3F7" w14:textId="3118EA42" w:rsidR="0086392B" w:rsidRPr="00721761" w:rsidRDefault="00943DA0" w:rsidP="00721761">
            <w:pPr>
              <w:spacing w:line="240" w:lineRule="auto"/>
              <w:jc w:val="center"/>
              <w:rPr>
                <w:rFonts w:cs="Arial"/>
                <w:sz w:val="22"/>
                <w:szCs w:val="22"/>
              </w:rPr>
            </w:pPr>
            <w:r>
              <w:rPr>
                <w:rFonts w:cs="Arial"/>
                <w:sz w:val="22"/>
                <w:szCs w:val="22"/>
              </w:rPr>
              <w:t xml:space="preserve">  </w:t>
            </w:r>
            <w:r w:rsidR="00E534B3">
              <w:rPr>
                <w:rFonts w:cs="Arial"/>
                <w:sz w:val="22"/>
                <w:szCs w:val="22"/>
              </w:rPr>
              <w:t>7</w:t>
            </w:r>
          </w:p>
        </w:tc>
      </w:tr>
      <w:tr w:rsidR="00721761" w:rsidRPr="00721761" w14:paraId="2B91C2BF" w14:textId="77777777" w:rsidTr="00721761">
        <w:tc>
          <w:tcPr>
            <w:tcW w:w="3085" w:type="dxa"/>
            <w:shd w:val="clear" w:color="auto" w:fill="auto"/>
          </w:tcPr>
          <w:p w14:paraId="0832C2FC" w14:textId="77777777" w:rsidR="0086392B" w:rsidRPr="00721761" w:rsidRDefault="002549B4" w:rsidP="00721761">
            <w:pPr>
              <w:spacing w:line="240" w:lineRule="auto"/>
              <w:rPr>
                <w:rFonts w:cs="Arial"/>
                <w:sz w:val="22"/>
                <w:szCs w:val="22"/>
              </w:rPr>
            </w:pPr>
            <w:r w:rsidRPr="00721761">
              <w:rPr>
                <w:rFonts w:cs="Arial"/>
                <w:sz w:val="22"/>
                <w:szCs w:val="22"/>
              </w:rPr>
              <w:t>Total cash &amp; fixed interest</w:t>
            </w:r>
          </w:p>
        </w:tc>
        <w:tc>
          <w:tcPr>
            <w:tcW w:w="1701" w:type="dxa"/>
            <w:shd w:val="clear" w:color="auto" w:fill="auto"/>
          </w:tcPr>
          <w:p w14:paraId="1E6EF1C6" w14:textId="4EE635B3" w:rsidR="0086392B" w:rsidRPr="00721761" w:rsidRDefault="002549B4" w:rsidP="00721761">
            <w:pPr>
              <w:spacing w:line="240" w:lineRule="auto"/>
              <w:jc w:val="center"/>
              <w:rPr>
                <w:rFonts w:cs="Arial"/>
                <w:sz w:val="22"/>
                <w:szCs w:val="22"/>
              </w:rPr>
            </w:pPr>
            <w:r w:rsidRPr="00721761">
              <w:rPr>
                <w:rFonts w:cs="Arial"/>
                <w:sz w:val="22"/>
                <w:szCs w:val="22"/>
              </w:rPr>
              <w:t>1</w:t>
            </w:r>
            <w:r w:rsidR="00943DA0">
              <w:rPr>
                <w:rFonts w:cs="Arial"/>
                <w:sz w:val="22"/>
                <w:szCs w:val="22"/>
              </w:rPr>
              <w:t>8</w:t>
            </w:r>
          </w:p>
        </w:tc>
        <w:tc>
          <w:tcPr>
            <w:tcW w:w="1701" w:type="dxa"/>
            <w:shd w:val="clear" w:color="auto" w:fill="auto"/>
          </w:tcPr>
          <w:p w14:paraId="213E038F" w14:textId="1D98353E" w:rsidR="0086392B" w:rsidRPr="00721761" w:rsidRDefault="002549B4" w:rsidP="00721761">
            <w:pPr>
              <w:spacing w:line="240" w:lineRule="auto"/>
              <w:jc w:val="center"/>
              <w:rPr>
                <w:rFonts w:cs="Arial"/>
                <w:sz w:val="22"/>
                <w:szCs w:val="22"/>
              </w:rPr>
            </w:pPr>
            <w:r w:rsidRPr="00721761">
              <w:rPr>
                <w:rFonts w:cs="Arial"/>
                <w:sz w:val="22"/>
                <w:szCs w:val="22"/>
              </w:rPr>
              <w:t>6</w:t>
            </w:r>
            <w:r w:rsidR="00E534B3">
              <w:rPr>
                <w:rFonts w:cs="Arial"/>
                <w:sz w:val="22"/>
                <w:szCs w:val="22"/>
              </w:rPr>
              <w:t>4</w:t>
            </w:r>
          </w:p>
        </w:tc>
        <w:tc>
          <w:tcPr>
            <w:tcW w:w="1581" w:type="dxa"/>
            <w:shd w:val="clear" w:color="auto" w:fill="auto"/>
          </w:tcPr>
          <w:p w14:paraId="631B5B7D" w14:textId="0BFE17BB" w:rsidR="0086392B" w:rsidRPr="00721761" w:rsidRDefault="004265AA" w:rsidP="00721761">
            <w:pPr>
              <w:spacing w:line="240" w:lineRule="auto"/>
              <w:jc w:val="center"/>
              <w:rPr>
                <w:rFonts w:cs="Arial"/>
                <w:sz w:val="22"/>
                <w:szCs w:val="22"/>
              </w:rPr>
            </w:pPr>
            <w:r w:rsidRPr="00721761">
              <w:rPr>
                <w:rFonts w:cs="Arial"/>
                <w:sz w:val="22"/>
                <w:szCs w:val="22"/>
              </w:rPr>
              <w:t>4</w:t>
            </w:r>
            <w:r w:rsidR="00E534B3">
              <w:rPr>
                <w:rFonts w:cs="Arial"/>
                <w:sz w:val="22"/>
                <w:szCs w:val="22"/>
              </w:rPr>
              <w:t>2</w:t>
            </w:r>
          </w:p>
        </w:tc>
      </w:tr>
      <w:tr w:rsidR="00721761" w:rsidRPr="00721761" w14:paraId="25E4632E" w14:textId="77777777" w:rsidTr="00721761">
        <w:tc>
          <w:tcPr>
            <w:tcW w:w="3085" w:type="dxa"/>
            <w:shd w:val="clear" w:color="auto" w:fill="auto"/>
          </w:tcPr>
          <w:p w14:paraId="11E8E84A" w14:textId="77777777" w:rsidR="0086392B" w:rsidRPr="00721761" w:rsidRDefault="0086392B" w:rsidP="00721761">
            <w:pPr>
              <w:spacing w:line="240" w:lineRule="auto"/>
              <w:rPr>
                <w:rFonts w:cs="Arial"/>
                <w:sz w:val="22"/>
                <w:szCs w:val="22"/>
              </w:rPr>
            </w:pPr>
          </w:p>
        </w:tc>
        <w:tc>
          <w:tcPr>
            <w:tcW w:w="1701" w:type="dxa"/>
            <w:shd w:val="clear" w:color="auto" w:fill="auto"/>
          </w:tcPr>
          <w:p w14:paraId="2F241CA0"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176AF361"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7D078E20" w14:textId="77777777" w:rsidR="0086392B" w:rsidRPr="00721761" w:rsidRDefault="0086392B" w:rsidP="00721761">
            <w:pPr>
              <w:spacing w:line="240" w:lineRule="auto"/>
              <w:jc w:val="center"/>
              <w:rPr>
                <w:rFonts w:cs="Arial"/>
                <w:sz w:val="22"/>
                <w:szCs w:val="22"/>
              </w:rPr>
            </w:pPr>
          </w:p>
        </w:tc>
      </w:tr>
      <w:tr w:rsidR="00721761" w:rsidRPr="00721761" w14:paraId="198BC1F5" w14:textId="77777777" w:rsidTr="00721761">
        <w:tc>
          <w:tcPr>
            <w:tcW w:w="3085" w:type="dxa"/>
            <w:shd w:val="clear" w:color="auto" w:fill="auto"/>
          </w:tcPr>
          <w:p w14:paraId="45BD916F" w14:textId="77777777" w:rsidR="0086392B" w:rsidRPr="00721761" w:rsidRDefault="002549B4" w:rsidP="00721761">
            <w:pPr>
              <w:spacing w:line="240" w:lineRule="auto"/>
              <w:rPr>
                <w:rFonts w:cs="Arial"/>
                <w:sz w:val="22"/>
                <w:szCs w:val="22"/>
                <w:u w:val="single"/>
              </w:rPr>
            </w:pPr>
            <w:r w:rsidRPr="00721761">
              <w:rPr>
                <w:rFonts w:cs="Arial"/>
                <w:sz w:val="22"/>
                <w:szCs w:val="22"/>
                <w:u w:val="single"/>
              </w:rPr>
              <w:t>Other</w:t>
            </w:r>
          </w:p>
        </w:tc>
        <w:tc>
          <w:tcPr>
            <w:tcW w:w="1701" w:type="dxa"/>
            <w:shd w:val="clear" w:color="auto" w:fill="auto"/>
          </w:tcPr>
          <w:p w14:paraId="1481323C"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3B70D248"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723FED9E" w14:textId="77777777" w:rsidR="0086392B" w:rsidRPr="00721761" w:rsidRDefault="0086392B" w:rsidP="00721761">
            <w:pPr>
              <w:spacing w:line="240" w:lineRule="auto"/>
              <w:jc w:val="center"/>
              <w:rPr>
                <w:rFonts w:cs="Arial"/>
                <w:sz w:val="22"/>
                <w:szCs w:val="22"/>
              </w:rPr>
            </w:pPr>
          </w:p>
        </w:tc>
      </w:tr>
      <w:tr w:rsidR="00721761" w:rsidRPr="00721761" w14:paraId="3E248CBF" w14:textId="77777777" w:rsidTr="00721761">
        <w:tc>
          <w:tcPr>
            <w:tcW w:w="3085" w:type="dxa"/>
            <w:shd w:val="clear" w:color="auto" w:fill="auto"/>
          </w:tcPr>
          <w:p w14:paraId="219C9BB6" w14:textId="77777777" w:rsidR="0086392B" w:rsidRPr="00721761" w:rsidRDefault="002549B4" w:rsidP="00721761">
            <w:pPr>
              <w:spacing w:line="240" w:lineRule="auto"/>
              <w:rPr>
                <w:rFonts w:cs="Arial"/>
                <w:sz w:val="22"/>
                <w:szCs w:val="22"/>
              </w:rPr>
            </w:pPr>
            <w:r w:rsidRPr="00721761">
              <w:rPr>
                <w:rFonts w:cs="Arial"/>
                <w:sz w:val="22"/>
                <w:szCs w:val="22"/>
              </w:rPr>
              <w:t>Property</w:t>
            </w:r>
          </w:p>
        </w:tc>
        <w:tc>
          <w:tcPr>
            <w:tcW w:w="1701" w:type="dxa"/>
            <w:shd w:val="clear" w:color="auto" w:fill="auto"/>
          </w:tcPr>
          <w:p w14:paraId="100E6871" w14:textId="238C3250"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2</w:t>
            </w:r>
          </w:p>
        </w:tc>
        <w:tc>
          <w:tcPr>
            <w:tcW w:w="1701" w:type="dxa"/>
            <w:shd w:val="clear" w:color="auto" w:fill="auto"/>
          </w:tcPr>
          <w:p w14:paraId="13C969EE" w14:textId="2F3CE6BC"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7</w:t>
            </w:r>
          </w:p>
        </w:tc>
        <w:tc>
          <w:tcPr>
            <w:tcW w:w="1581" w:type="dxa"/>
            <w:shd w:val="clear" w:color="auto" w:fill="auto"/>
          </w:tcPr>
          <w:p w14:paraId="30F18FC0" w14:textId="08C2E132" w:rsidR="0086392B" w:rsidRPr="00721761" w:rsidRDefault="004265AA"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4</w:t>
            </w:r>
          </w:p>
        </w:tc>
      </w:tr>
      <w:tr w:rsidR="00721761" w:rsidRPr="00721761" w14:paraId="2B582C19" w14:textId="77777777" w:rsidTr="00721761">
        <w:tc>
          <w:tcPr>
            <w:tcW w:w="3085" w:type="dxa"/>
            <w:shd w:val="clear" w:color="auto" w:fill="auto"/>
          </w:tcPr>
          <w:p w14:paraId="1B38469E" w14:textId="77777777" w:rsidR="0086392B" w:rsidRPr="00721761" w:rsidRDefault="002549B4" w:rsidP="00721761">
            <w:pPr>
              <w:spacing w:line="240" w:lineRule="auto"/>
              <w:rPr>
                <w:rFonts w:cs="Arial"/>
                <w:sz w:val="22"/>
                <w:szCs w:val="22"/>
              </w:rPr>
            </w:pPr>
            <w:r w:rsidRPr="00721761">
              <w:rPr>
                <w:rFonts w:cs="Arial"/>
                <w:sz w:val="22"/>
                <w:szCs w:val="22"/>
              </w:rPr>
              <w:t>Other</w:t>
            </w:r>
          </w:p>
        </w:tc>
        <w:tc>
          <w:tcPr>
            <w:tcW w:w="1701" w:type="dxa"/>
            <w:shd w:val="clear" w:color="auto" w:fill="auto"/>
          </w:tcPr>
          <w:p w14:paraId="58F9DCF6" w14:textId="34A7F54B"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2</w:t>
            </w:r>
          </w:p>
        </w:tc>
        <w:tc>
          <w:tcPr>
            <w:tcW w:w="1701" w:type="dxa"/>
            <w:shd w:val="clear" w:color="auto" w:fill="auto"/>
          </w:tcPr>
          <w:p w14:paraId="049EA0BD" w14:textId="059A5EF3" w:rsidR="0086392B" w:rsidRPr="00721761" w:rsidRDefault="002549B4"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0</w:t>
            </w:r>
          </w:p>
        </w:tc>
        <w:tc>
          <w:tcPr>
            <w:tcW w:w="1581" w:type="dxa"/>
            <w:shd w:val="clear" w:color="auto" w:fill="auto"/>
          </w:tcPr>
          <w:p w14:paraId="54891E31" w14:textId="0A557A72" w:rsidR="0086392B" w:rsidRPr="00721761" w:rsidRDefault="004265AA" w:rsidP="00721761">
            <w:pPr>
              <w:spacing w:line="240" w:lineRule="auto"/>
              <w:jc w:val="center"/>
              <w:rPr>
                <w:rFonts w:cs="Arial"/>
                <w:sz w:val="22"/>
                <w:szCs w:val="22"/>
              </w:rPr>
            </w:pPr>
            <w:r w:rsidRPr="00721761">
              <w:rPr>
                <w:rFonts w:cs="Arial"/>
                <w:sz w:val="22"/>
                <w:szCs w:val="22"/>
              </w:rPr>
              <w:t xml:space="preserve">  </w:t>
            </w:r>
            <w:r w:rsidR="00943DA0">
              <w:rPr>
                <w:rFonts w:cs="Arial"/>
                <w:sz w:val="22"/>
                <w:szCs w:val="22"/>
              </w:rPr>
              <w:t>1</w:t>
            </w:r>
          </w:p>
        </w:tc>
      </w:tr>
      <w:tr w:rsidR="00721761" w:rsidRPr="00721761" w14:paraId="76587512" w14:textId="77777777" w:rsidTr="00721761">
        <w:tc>
          <w:tcPr>
            <w:tcW w:w="3085" w:type="dxa"/>
            <w:shd w:val="clear" w:color="auto" w:fill="auto"/>
          </w:tcPr>
          <w:p w14:paraId="70A07CF1" w14:textId="77777777" w:rsidR="0086392B" w:rsidRPr="00721761" w:rsidRDefault="002549B4" w:rsidP="00721761">
            <w:pPr>
              <w:spacing w:line="240" w:lineRule="auto"/>
              <w:rPr>
                <w:rFonts w:cs="Arial"/>
                <w:sz w:val="22"/>
                <w:szCs w:val="22"/>
              </w:rPr>
            </w:pPr>
            <w:r w:rsidRPr="00721761">
              <w:rPr>
                <w:rFonts w:cs="Arial"/>
                <w:sz w:val="22"/>
                <w:szCs w:val="22"/>
              </w:rPr>
              <w:t>Total other</w:t>
            </w:r>
          </w:p>
        </w:tc>
        <w:tc>
          <w:tcPr>
            <w:tcW w:w="1701" w:type="dxa"/>
            <w:shd w:val="clear" w:color="auto" w:fill="auto"/>
          </w:tcPr>
          <w:p w14:paraId="57E61CCA" w14:textId="2661CFAE" w:rsidR="0086392B" w:rsidRPr="00721761" w:rsidRDefault="00943DA0" w:rsidP="00721761">
            <w:pPr>
              <w:spacing w:line="240" w:lineRule="auto"/>
              <w:jc w:val="center"/>
              <w:rPr>
                <w:rFonts w:cs="Arial"/>
                <w:sz w:val="22"/>
                <w:szCs w:val="22"/>
              </w:rPr>
            </w:pPr>
            <w:r>
              <w:rPr>
                <w:rFonts w:cs="Arial"/>
                <w:sz w:val="22"/>
                <w:szCs w:val="22"/>
              </w:rPr>
              <w:t xml:space="preserve">  4</w:t>
            </w:r>
          </w:p>
        </w:tc>
        <w:tc>
          <w:tcPr>
            <w:tcW w:w="1701" w:type="dxa"/>
            <w:shd w:val="clear" w:color="auto" w:fill="auto"/>
          </w:tcPr>
          <w:p w14:paraId="31EB594F" w14:textId="7521893D" w:rsidR="0086392B" w:rsidRPr="00721761" w:rsidRDefault="00943DA0" w:rsidP="00721761">
            <w:pPr>
              <w:spacing w:line="240" w:lineRule="auto"/>
              <w:jc w:val="center"/>
              <w:rPr>
                <w:rFonts w:cs="Arial"/>
                <w:sz w:val="22"/>
                <w:szCs w:val="22"/>
              </w:rPr>
            </w:pPr>
            <w:r>
              <w:rPr>
                <w:rFonts w:cs="Arial"/>
                <w:sz w:val="22"/>
                <w:szCs w:val="22"/>
              </w:rPr>
              <w:t xml:space="preserve">  7</w:t>
            </w:r>
          </w:p>
        </w:tc>
        <w:tc>
          <w:tcPr>
            <w:tcW w:w="1581" w:type="dxa"/>
            <w:shd w:val="clear" w:color="auto" w:fill="auto"/>
          </w:tcPr>
          <w:p w14:paraId="2CCE0311" w14:textId="5BED3C56" w:rsidR="0086392B" w:rsidRPr="00721761" w:rsidRDefault="00943DA0" w:rsidP="00721761">
            <w:pPr>
              <w:spacing w:line="240" w:lineRule="auto"/>
              <w:jc w:val="center"/>
              <w:rPr>
                <w:rFonts w:cs="Arial"/>
                <w:sz w:val="22"/>
                <w:szCs w:val="22"/>
              </w:rPr>
            </w:pPr>
            <w:r>
              <w:rPr>
                <w:rFonts w:cs="Arial"/>
                <w:sz w:val="22"/>
                <w:szCs w:val="22"/>
              </w:rPr>
              <w:t xml:space="preserve">  5</w:t>
            </w:r>
          </w:p>
        </w:tc>
      </w:tr>
      <w:tr w:rsidR="00721761" w:rsidRPr="00721761" w14:paraId="6B76ED9F" w14:textId="77777777" w:rsidTr="00721761">
        <w:tc>
          <w:tcPr>
            <w:tcW w:w="3085" w:type="dxa"/>
            <w:shd w:val="clear" w:color="auto" w:fill="auto"/>
          </w:tcPr>
          <w:p w14:paraId="3A9021D6" w14:textId="77777777" w:rsidR="0086392B" w:rsidRPr="00721761" w:rsidRDefault="0086392B" w:rsidP="00721761">
            <w:pPr>
              <w:spacing w:line="240" w:lineRule="auto"/>
              <w:rPr>
                <w:rFonts w:cs="Arial"/>
                <w:sz w:val="22"/>
                <w:szCs w:val="22"/>
              </w:rPr>
            </w:pPr>
          </w:p>
        </w:tc>
        <w:tc>
          <w:tcPr>
            <w:tcW w:w="1701" w:type="dxa"/>
            <w:shd w:val="clear" w:color="auto" w:fill="auto"/>
          </w:tcPr>
          <w:p w14:paraId="466ED09B" w14:textId="77777777" w:rsidR="0086392B" w:rsidRPr="00721761" w:rsidRDefault="0086392B" w:rsidP="00721761">
            <w:pPr>
              <w:spacing w:line="240" w:lineRule="auto"/>
              <w:jc w:val="center"/>
              <w:rPr>
                <w:rFonts w:cs="Arial"/>
                <w:sz w:val="22"/>
                <w:szCs w:val="22"/>
              </w:rPr>
            </w:pPr>
          </w:p>
        </w:tc>
        <w:tc>
          <w:tcPr>
            <w:tcW w:w="1701" w:type="dxa"/>
            <w:shd w:val="clear" w:color="auto" w:fill="auto"/>
          </w:tcPr>
          <w:p w14:paraId="24459730" w14:textId="77777777" w:rsidR="0086392B" w:rsidRPr="00721761" w:rsidRDefault="0086392B" w:rsidP="00721761">
            <w:pPr>
              <w:spacing w:line="240" w:lineRule="auto"/>
              <w:jc w:val="center"/>
              <w:rPr>
                <w:rFonts w:cs="Arial"/>
                <w:sz w:val="22"/>
                <w:szCs w:val="22"/>
              </w:rPr>
            </w:pPr>
          </w:p>
        </w:tc>
        <w:tc>
          <w:tcPr>
            <w:tcW w:w="1581" w:type="dxa"/>
            <w:shd w:val="clear" w:color="auto" w:fill="auto"/>
          </w:tcPr>
          <w:p w14:paraId="1CC5CDDA" w14:textId="77777777" w:rsidR="0086392B" w:rsidRPr="00721761" w:rsidRDefault="0086392B" w:rsidP="00721761">
            <w:pPr>
              <w:spacing w:line="240" w:lineRule="auto"/>
              <w:jc w:val="center"/>
              <w:rPr>
                <w:rFonts w:cs="Arial"/>
                <w:sz w:val="22"/>
                <w:szCs w:val="22"/>
              </w:rPr>
            </w:pPr>
          </w:p>
        </w:tc>
      </w:tr>
      <w:tr w:rsidR="00721761" w:rsidRPr="00721761" w14:paraId="440892C5" w14:textId="77777777" w:rsidTr="00721761">
        <w:tc>
          <w:tcPr>
            <w:tcW w:w="3085" w:type="dxa"/>
            <w:shd w:val="clear" w:color="auto" w:fill="auto"/>
          </w:tcPr>
          <w:p w14:paraId="4C86ED43" w14:textId="77777777" w:rsidR="0086392B" w:rsidRPr="00721761" w:rsidRDefault="002549B4" w:rsidP="00721761">
            <w:pPr>
              <w:spacing w:line="240" w:lineRule="auto"/>
              <w:rPr>
                <w:rFonts w:cs="Arial"/>
                <w:sz w:val="22"/>
                <w:szCs w:val="22"/>
                <w:u w:val="single"/>
              </w:rPr>
            </w:pPr>
            <w:r w:rsidRPr="00721761">
              <w:rPr>
                <w:rFonts w:cs="Arial"/>
                <w:sz w:val="22"/>
                <w:szCs w:val="22"/>
                <w:u w:val="single"/>
              </w:rPr>
              <w:t>Total</w:t>
            </w:r>
          </w:p>
        </w:tc>
        <w:tc>
          <w:tcPr>
            <w:tcW w:w="1701" w:type="dxa"/>
            <w:shd w:val="clear" w:color="auto" w:fill="auto"/>
          </w:tcPr>
          <w:p w14:paraId="6F4910F5" w14:textId="77777777" w:rsidR="0086392B" w:rsidRPr="00721761" w:rsidRDefault="002549B4" w:rsidP="00721761">
            <w:pPr>
              <w:spacing w:line="240" w:lineRule="auto"/>
              <w:jc w:val="center"/>
              <w:rPr>
                <w:rFonts w:cs="Arial"/>
                <w:sz w:val="22"/>
                <w:szCs w:val="22"/>
              </w:rPr>
            </w:pPr>
            <w:r w:rsidRPr="00721761">
              <w:rPr>
                <w:rFonts w:cs="Arial"/>
                <w:sz w:val="22"/>
                <w:szCs w:val="22"/>
              </w:rPr>
              <w:t>100</w:t>
            </w:r>
          </w:p>
        </w:tc>
        <w:tc>
          <w:tcPr>
            <w:tcW w:w="1701" w:type="dxa"/>
            <w:shd w:val="clear" w:color="auto" w:fill="auto"/>
          </w:tcPr>
          <w:p w14:paraId="611C7D3D" w14:textId="77777777" w:rsidR="0086392B" w:rsidRPr="00721761" w:rsidRDefault="002549B4" w:rsidP="00721761">
            <w:pPr>
              <w:spacing w:line="240" w:lineRule="auto"/>
              <w:jc w:val="center"/>
              <w:rPr>
                <w:rFonts w:cs="Arial"/>
                <w:sz w:val="22"/>
                <w:szCs w:val="22"/>
              </w:rPr>
            </w:pPr>
            <w:r w:rsidRPr="00721761">
              <w:rPr>
                <w:rFonts w:cs="Arial"/>
                <w:sz w:val="22"/>
                <w:szCs w:val="22"/>
              </w:rPr>
              <w:t>100</w:t>
            </w:r>
          </w:p>
        </w:tc>
        <w:tc>
          <w:tcPr>
            <w:tcW w:w="1581" w:type="dxa"/>
            <w:shd w:val="clear" w:color="auto" w:fill="auto"/>
          </w:tcPr>
          <w:p w14:paraId="1CFD7F47" w14:textId="77777777" w:rsidR="0086392B" w:rsidRPr="00721761" w:rsidRDefault="004265AA" w:rsidP="00721761">
            <w:pPr>
              <w:spacing w:line="240" w:lineRule="auto"/>
              <w:jc w:val="center"/>
              <w:rPr>
                <w:rFonts w:cs="Arial"/>
                <w:sz w:val="22"/>
                <w:szCs w:val="22"/>
              </w:rPr>
            </w:pPr>
            <w:r w:rsidRPr="00721761">
              <w:rPr>
                <w:rFonts w:cs="Arial"/>
                <w:sz w:val="22"/>
                <w:szCs w:val="22"/>
              </w:rPr>
              <w:t>100</w:t>
            </w:r>
          </w:p>
        </w:tc>
      </w:tr>
    </w:tbl>
    <w:p w14:paraId="17F37074" w14:textId="77777777" w:rsidR="0062527A" w:rsidRDefault="0062527A" w:rsidP="0062527A">
      <w:pPr>
        <w:pStyle w:val="Heading1"/>
        <w:spacing w:before="0" w:after="0" w:line="240" w:lineRule="auto"/>
        <w:rPr>
          <w:bCs w:val="0"/>
          <w:color w:val="auto"/>
          <w:spacing w:val="0"/>
          <w:kern w:val="0"/>
          <w:sz w:val="22"/>
          <w:szCs w:val="22"/>
        </w:rPr>
      </w:pPr>
    </w:p>
    <w:p w14:paraId="6B915796" w14:textId="15321C45" w:rsidR="0074722A" w:rsidRDefault="004A5B29" w:rsidP="0062527A">
      <w:pPr>
        <w:pStyle w:val="Heading1"/>
        <w:spacing w:before="0" w:after="0" w:line="240" w:lineRule="auto"/>
        <w:rPr>
          <w:bCs w:val="0"/>
          <w:color w:val="auto"/>
          <w:spacing w:val="0"/>
          <w:kern w:val="0"/>
          <w:sz w:val="22"/>
          <w:szCs w:val="22"/>
        </w:rPr>
      </w:pPr>
      <w:r>
        <w:rPr>
          <w:bCs w:val="0"/>
          <w:color w:val="auto"/>
          <w:spacing w:val="0"/>
          <w:kern w:val="0"/>
          <w:sz w:val="22"/>
          <w:szCs w:val="22"/>
        </w:rPr>
        <w:t xml:space="preserve">The cash flow requirements of the Scheme </w:t>
      </w:r>
      <w:r w:rsidR="0074722A">
        <w:rPr>
          <w:bCs w:val="0"/>
          <w:color w:val="auto"/>
          <w:spacing w:val="0"/>
          <w:kern w:val="0"/>
          <w:sz w:val="22"/>
          <w:szCs w:val="22"/>
        </w:rPr>
        <w:t xml:space="preserve">will be met by </w:t>
      </w:r>
      <w:r w:rsidR="00E41DB1">
        <w:rPr>
          <w:bCs w:val="0"/>
          <w:color w:val="auto"/>
          <w:spacing w:val="0"/>
          <w:kern w:val="0"/>
          <w:sz w:val="22"/>
          <w:szCs w:val="22"/>
        </w:rPr>
        <w:t xml:space="preserve">periodic </w:t>
      </w:r>
      <w:r w:rsidR="0074722A">
        <w:rPr>
          <w:bCs w:val="0"/>
          <w:color w:val="auto"/>
          <w:spacing w:val="0"/>
          <w:kern w:val="0"/>
          <w:sz w:val="22"/>
          <w:szCs w:val="22"/>
        </w:rPr>
        <w:t>disinvestments from the total funds on the following basis:</w:t>
      </w:r>
    </w:p>
    <w:p w14:paraId="5C111C32" w14:textId="1DE10A0B" w:rsidR="0074722A" w:rsidRDefault="0074722A" w:rsidP="0074722A">
      <w:pPr>
        <w:pStyle w:val="Heading1"/>
        <w:numPr>
          <w:ilvl w:val="0"/>
          <w:numId w:val="48"/>
        </w:numPr>
        <w:spacing w:before="0" w:after="0" w:line="240" w:lineRule="auto"/>
        <w:rPr>
          <w:bCs w:val="0"/>
          <w:color w:val="auto"/>
          <w:spacing w:val="0"/>
          <w:kern w:val="0"/>
          <w:sz w:val="22"/>
          <w:szCs w:val="22"/>
        </w:rPr>
      </w:pPr>
      <w:r>
        <w:rPr>
          <w:bCs w:val="0"/>
          <w:color w:val="auto"/>
          <w:spacing w:val="0"/>
          <w:kern w:val="0"/>
          <w:sz w:val="22"/>
          <w:szCs w:val="22"/>
        </w:rPr>
        <w:t xml:space="preserve">Surplus growth in the Growth Fund causing the proportion of the total funds represented by the Growth Fund to exceed 50%. The </w:t>
      </w:r>
      <w:r w:rsidR="000E485A">
        <w:rPr>
          <w:bCs w:val="0"/>
          <w:color w:val="auto"/>
          <w:spacing w:val="0"/>
          <w:kern w:val="0"/>
          <w:sz w:val="22"/>
          <w:szCs w:val="22"/>
        </w:rPr>
        <w:t>I</w:t>
      </w:r>
      <w:r>
        <w:rPr>
          <w:bCs w:val="0"/>
          <w:color w:val="auto"/>
          <w:spacing w:val="0"/>
          <w:kern w:val="0"/>
          <w:sz w:val="22"/>
          <w:szCs w:val="22"/>
        </w:rPr>
        <w:t xml:space="preserve">nvestment </w:t>
      </w:r>
      <w:r w:rsidR="000E485A">
        <w:rPr>
          <w:bCs w:val="0"/>
          <w:color w:val="auto"/>
          <w:spacing w:val="0"/>
          <w:kern w:val="0"/>
          <w:sz w:val="22"/>
          <w:szCs w:val="22"/>
        </w:rPr>
        <w:t>A</w:t>
      </w:r>
      <w:r>
        <w:rPr>
          <w:bCs w:val="0"/>
          <w:color w:val="auto"/>
          <w:spacing w:val="0"/>
          <w:kern w:val="0"/>
          <w:sz w:val="22"/>
          <w:szCs w:val="22"/>
        </w:rPr>
        <w:t>dvisers monitor increases in the Growth Fund between quarterly disinvestments and if the imbalance exceeds £25,000</w:t>
      </w:r>
      <w:r w:rsidR="005720C6">
        <w:rPr>
          <w:bCs w:val="0"/>
          <w:color w:val="auto"/>
          <w:spacing w:val="0"/>
          <w:kern w:val="0"/>
          <w:sz w:val="22"/>
          <w:szCs w:val="22"/>
        </w:rPr>
        <w:t>, an interim disinvestment is actioned to realise the surplus growth and the funds are held as a money market deposit until required to pay benefits.</w:t>
      </w:r>
    </w:p>
    <w:p w14:paraId="6F0A3EF2" w14:textId="6531BDE1" w:rsidR="005720C6" w:rsidRDefault="005720C6" w:rsidP="005720C6">
      <w:pPr>
        <w:pStyle w:val="ListParagraph"/>
        <w:numPr>
          <w:ilvl w:val="0"/>
          <w:numId w:val="48"/>
        </w:numPr>
        <w:rPr>
          <w:rFonts w:ascii="Arial" w:hAnsi="Arial" w:cs="Arial"/>
        </w:rPr>
      </w:pPr>
      <w:r w:rsidRPr="00943DA0">
        <w:rPr>
          <w:rFonts w:ascii="Arial" w:hAnsi="Arial" w:cs="Arial"/>
        </w:rPr>
        <w:t>Income generated from the Income Fund’s investments</w:t>
      </w:r>
      <w:r>
        <w:rPr>
          <w:rFonts w:ascii="Arial" w:hAnsi="Arial" w:cs="Arial"/>
        </w:rPr>
        <w:t>.</w:t>
      </w:r>
    </w:p>
    <w:p w14:paraId="586A697F" w14:textId="2935FA2E" w:rsidR="005720C6" w:rsidRPr="00622A18" w:rsidRDefault="005720C6" w:rsidP="00943DA0">
      <w:pPr>
        <w:pStyle w:val="ListParagraph"/>
        <w:numPr>
          <w:ilvl w:val="0"/>
          <w:numId w:val="48"/>
        </w:numPr>
      </w:pPr>
      <w:r>
        <w:rPr>
          <w:rFonts w:ascii="Arial" w:hAnsi="Arial" w:cs="Arial"/>
        </w:rPr>
        <w:t>A pro-rata divestment from both Funds.</w:t>
      </w:r>
    </w:p>
    <w:p w14:paraId="7AA9C5C2" w14:textId="1ECCA110" w:rsidR="00E41DB1" w:rsidRPr="00943DA0" w:rsidRDefault="00E41DB1" w:rsidP="00E41DB1">
      <w:pPr>
        <w:pStyle w:val="ListParagraph"/>
        <w:numPr>
          <w:ilvl w:val="0"/>
          <w:numId w:val="48"/>
        </w:numPr>
      </w:pPr>
      <w:r w:rsidRPr="00E41DB1">
        <w:rPr>
          <w:rFonts w:ascii="Arial" w:hAnsi="Arial" w:cs="Arial"/>
        </w:rPr>
        <w:lastRenderedPageBreak/>
        <w:t>Dis</w:t>
      </w:r>
      <w:r w:rsidRPr="0046354F">
        <w:rPr>
          <w:rFonts w:ascii="Arial" w:hAnsi="Arial" w:cs="Arial"/>
        </w:rPr>
        <w:t>in</w:t>
      </w:r>
      <w:r w:rsidRPr="00B32244">
        <w:rPr>
          <w:rFonts w:ascii="Arial" w:hAnsi="Arial" w:cs="Arial"/>
        </w:rPr>
        <w:t>ve</w:t>
      </w:r>
      <w:r w:rsidRPr="00BF667E">
        <w:rPr>
          <w:rFonts w:ascii="Arial" w:hAnsi="Arial" w:cs="Arial"/>
        </w:rPr>
        <w:t>s</w:t>
      </w:r>
      <w:r w:rsidRPr="00B90EF1">
        <w:rPr>
          <w:rFonts w:ascii="Arial" w:hAnsi="Arial" w:cs="Arial"/>
        </w:rPr>
        <w:t>t</w:t>
      </w:r>
      <w:r w:rsidRPr="007A2240">
        <w:rPr>
          <w:rFonts w:ascii="Arial" w:hAnsi="Arial" w:cs="Arial"/>
        </w:rPr>
        <w:t>ment</w:t>
      </w:r>
      <w:r w:rsidRPr="00362DEE">
        <w:rPr>
          <w:rFonts w:ascii="Arial" w:hAnsi="Arial" w:cs="Arial"/>
        </w:rPr>
        <w:t>s</w:t>
      </w:r>
      <w:r w:rsidRPr="00E41DB1">
        <w:rPr>
          <w:rFonts w:ascii="Arial" w:hAnsi="Arial" w:cs="Arial"/>
        </w:rPr>
        <w:t xml:space="preserve"> may be held as money market deposits within the assets managed by St James’s Place Wealth Management until </w:t>
      </w:r>
      <w:r w:rsidR="00B90EF1">
        <w:rPr>
          <w:rFonts w:ascii="Arial" w:hAnsi="Arial" w:cs="Arial"/>
        </w:rPr>
        <w:t>needed</w:t>
      </w:r>
      <w:r w:rsidRPr="00B90EF1">
        <w:rPr>
          <w:rFonts w:ascii="Arial" w:hAnsi="Arial" w:cs="Arial"/>
        </w:rPr>
        <w:t xml:space="preserve"> to pa</w:t>
      </w:r>
      <w:r w:rsidRPr="007A2240">
        <w:rPr>
          <w:rFonts w:ascii="Arial" w:hAnsi="Arial" w:cs="Arial"/>
        </w:rPr>
        <w:t>y be</w:t>
      </w:r>
      <w:r w:rsidRPr="00362DEE">
        <w:rPr>
          <w:rFonts w:ascii="Arial" w:hAnsi="Arial" w:cs="Arial"/>
        </w:rPr>
        <w:t>n</w:t>
      </w:r>
      <w:r w:rsidRPr="00E41DB1">
        <w:rPr>
          <w:rFonts w:ascii="Arial" w:hAnsi="Arial" w:cs="Arial"/>
        </w:rPr>
        <w:t>efits.</w:t>
      </w:r>
    </w:p>
    <w:p w14:paraId="066C7A9E" w14:textId="77777777" w:rsidR="005720C6" w:rsidRDefault="005720C6" w:rsidP="0062527A">
      <w:pPr>
        <w:pStyle w:val="Heading1"/>
        <w:spacing w:before="0" w:after="0" w:line="240" w:lineRule="auto"/>
        <w:rPr>
          <w:bCs w:val="0"/>
          <w:color w:val="auto"/>
          <w:spacing w:val="0"/>
          <w:kern w:val="0"/>
          <w:sz w:val="22"/>
          <w:szCs w:val="22"/>
        </w:rPr>
      </w:pPr>
    </w:p>
    <w:p w14:paraId="712DC04B" w14:textId="14261513" w:rsidR="004A5B29" w:rsidRDefault="004A5B29" w:rsidP="0062527A">
      <w:pPr>
        <w:pStyle w:val="Heading1"/>
        <w:spacing w:before="0" w:after="0" w:line="240" w:lineRule="auto"/>
        <w:rPr>
          <w:bCs w:val="0"/>
          <w:color w:val="auto"/>
          <w:spacing w:val="0"/>
          <w:kern w:val="0"/>
          <w:sz w:val="22"/>
          <w:szCs w:val="22"/>
        </w:rPr>
      </w:pPr>
      <w:r>
        <w:rPr>
          <w:bCs w:val="0"/>
          <w:color w:val="auto"/>
          <w:spacing w:val="0"/>
          <w:kern w:val="0"/>
          <w:sz w:val="22"/>
          <w:szCs w:val="22"/>
        </w:rPr>
        <w:t>The Trustees will take advice from the Investment Advisers as to where these divestments should be taken from.</w:t>
      </w:r>
      <w:r w:rsidR="005720C6">
        <w:rPr>
          <w:bCs w:val="0"/>
          <w:color w:val="auto"/>
          <w:spacing w:val="0"/>
          <w:kern w:val="0"/>
          <w:sz w:val="22"/>
          <w:szCs w:val="22"/>
        </w:rPr>
        <w:t xml:space="preserve"> The Investment Advisers will ensure that, wherever possible, exit </w:t>
      </w:r>
      <w:r w:rsidR="00943DA0">
        <w:rPr>
          <w:bCs w:val="0"/>
          <w:color w:val="auto"/>
          <w:spacing w:val="0"/>
          <w:kern w:val="0"/>
          <w:sz w:val="22"/>
          <w:szCs w:val="22"/>
        </w:rPr>
        <w:t xml:space="preserve">charges </w:t>
      </w:r>
      <w:r w:rsidR="005720C6">
        <w:rPr>
          <w:bCs w:val="0"/>
          <w:color w:val="auto"/>
          <w:spacing w:val="0"/>
          <w:kern w:val="0"/>
          <w:sz w:val="22"/>
          <w:szCs w:val="22"/>
        </w:rPr>
        <w:t>on transferring funds out of the Growth Fund are avoided while the balance of the funds remains in line with the table above.</w:t>
      </w:r>
      <w:r w:rsidR="000E485A">
        <w:rPr>
          <w:bCs w:val="0"/>
          <w:color w:val="auto"/>
          <w:spacing w:val="0"/>
          <w:kern w:val="0"/>
          <w:sz w:val="22"/>
          <w:szCs w:val="22"/>
        </w:rPr>
        <w:t xml:space="preserve"> The Trustees meet the Investment Advisers twice a year when they consider whether any rebalancing of the total fund between the Growth Fund and the Income Fund is necessary to maintain the overall balance in line with the SIP.</w:t>
      </w:r>
    </w:p>
    <w:p w14:paraId="0336F942" w14:textId="77777777" w:rsidR="004A5B29" w:rsidRDefault="004A5B29" w:rsidP="0062527A">
      <w:pPr>
        <w:pStyle w:val="Heading1"/>
        <w:spacing w:before="0" w:after="0" w:line="240" w:lineRule="auto"/>
        <w:rPr>
          <w:bCs w:val="0"/>
          <w:color w:val="auto"/>
          <w:spacing w:val="0"/>
          <w:kern w:val="0"/>
          <w:sz w:val="22"/>
          <w:szCs w:val="22"/>
        </w:rPr>
      </w:pPr>
    </w:p>
    <w:p w14:paraId="5B9FFC75" w14:textId="1713624C" w:rsidR="000434E5" w:rsidRDefault="00D550AB" w:rsidP="0062527A">
      <w:pPr>
        <w:pStyle w:val="Heading1"/>
        <w:spacing w:before="0" w:after="0" w:line="240" w:lineRule="auto"/>
        <w:rPr>
          <w:bCs w:val="0"/>
          <w:color w:val="auto"/>
          <w:spacing w:val="0"/>
          <w:kern w:val="0"/>
          <w:sz w:val="22"/>
          <w:szCs w:val="22"/>
        </w:rPr>
      </w:pPr>
      <w:r>
        <w:rPr>
          <w:bCs w:val="0"/>
          <w:color w:val="auto"/>
          <w:spacing w:val="0"/>
          <w:kern w:val="0"/>
          <w:sz w:val="22"/>
          <w:szCs w:val="22"/>
        </w:rPr>
        <w:t xml:space="preserve">The Growth Fund </w:t>
      </w:r>
      <w:r w:rsidR="005720C6">
        <w:rPr>
          <w:bCs w:val="0"/>
          <w:color w:val="auto"/>
          <w:spacing w:val="0"/>
          <w:kern w:val="0"/>
          <w:sz w:val="22"/>
          <w:szCs w:val="22"/>
        </w:rPr>
        <w:t>has</w:t>
      </w:r>
      <w:r>
        <w:rPr>
          <w:bCs w:val="0"/>
          <w:color w:val="auto"/>
          <w:spacing w:val="0"/>
          <w:kern w:val="0"/>
          <w:sz w:val="22"/>
          <w:szCs w:val="22"/>
        </w:rPr>
        <w:t xml:space="preserve"> the following composition</w:t>
      </w:r>
      <w:r w:rsidR="005720C6">
        <w:rPr>
          <w:bCs w:val="0"/>
          <w:color w:val="auto"/>
          <w:spacing w:val="0"/>
          <w:kern w:val="0"/>
          <w:sz w:val="22"/>
          <w:szCs w:val="22"/>
        </w:rPr>
        <w:t xml:space="preserve"> at the date of this SIP</w:t>
      </w:r>
      <w:r>
        <w:rPr>
          <w:bCs w:val="0"/>
          <w:color w:val="auto"/>
          <w:spacing w:val="0"/>
          <w:kern w:val="0"/>
          <w:sz w:val="22"/>
          <w:szCs w:val="22"/>
        </w:rPr>
        <w:t>:</w:t>
      </w:r>
    </w:p>
    <w:p w14:paraId="23A50A4B" w14:textId="77777777" w:rsidR="0062527A" w:rsidRPr="0062527A" w:rsidRDefault="0062527A" w:rsidP="00625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1559"/>
      </w:tblGrid>
      <w:tr w:rsidR="0062527A" w:rsidRPr="00721761" w14:paraId="753A192D" w14:textId="77777777" w:rsidTr="001821B2">
        <w:tc>
          <w:tcPr>
            <w:tcW w:w="2518" w:type="dxa"/>
            <w:shd w:val="clear" w:color="auto" w:fill="auto"/>
          </w:tcPr>
          <w:p w14:paraId="0D88A768"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
                <w:bCs w:val="0"/>
                <w:color w:val="auto"/>
                <w:spacing w:val="0"/>
                <w:kern w:val="0"/>
                <w:sz w:val="22"/>
                <w:szCs w:val="22"/>
              </w:rPr>
              <w:lastRenderedPageBreak/>
              <w:t>Fund</w:t>
            </w:r>
          </w:p>
        </w:tc>
        <w:tc>
          <w:tcPr>
            <w:tcW w:w="3969" w:type="dxa"/>
            <w:shd w:val="clear" w:color="auto" w:fill="auto"/>
          </w:tcPr>
          <w:p w14:paraId="4E8AF12F" w14:textId="77777777" w:rsidR="0062527A" w:rsidRPr="00721761" w:rsidRDefault="0062527A" w:rsidP="001821B2">
            <w:pPr>
              <w:pStyle w:val="Heading1"/>
              <w:spacing w:before="0" w:after="0" w:line="240" w:lineRule="auto"/>
              <w:rPr>
                <w:b/>
                <w:bCs w:val="0"/>
                <w:color w:val="auto"/>
                <w:spacing w:val="0"/>
                <w:kern w:val="0"/>
                <w:sz w:val="22"/>
                <w:szCs w:val="22"/>
              </w:rPr>
            </w:pPr>
            <w:r w:rsidRPr="00721761">
              <w:rPr>
                <w:b/>
                <w:bCs w:val="0"/>
                <w:color w:val="auto"/>
                <w:spacing w:val="0"/>
                <w:kern w:val="0"/>
                <w:sz w:val="22"/>
                <w:szCs w:val="22"/>
              </w:rPr>
              <w:t>Manager(s)</w:t>
            </w:r>
          </w:p>
        </w:tc>
        <w:tc>
          <w:tcPr>
            <w:tcW w:w="1559" w:type="dxa"/>
            <w:shd w:val="clear" w:color="auto" w:fill="auto"/>
          </w:tcPr>
          <w:p w14:paraId="43537EF3" w14:textId="77777777" w:rsidR="0062527A" w:rsidRPr="00721761" w:rsidRDefault="0062527A" w:rsidP="001821B2">
            <w:pPr>
              <w:pStyle w:val="Heading1"/>
              <w:spacing w:before="0" w:after="0" w:line="240" w:lineRule="auto"/>
              <w:jc w:val="center"/>
              <w:rPr>
                <w:b/>
                <w:bCs w:val="0"/>
                <w:color w:val="auto"/>
                <w:spacing w:val="0"/>
                <w:kern w:val="0"/>
                <w:sz w:val="22"/>
                <w:szCs w:val="22"/>
              </w:rPr>
            </w:pPr>
            <w:r w:rsidRPr="00721761">
              <w:rPr>
                <w:b/>
                <w:bCs w:val="0"/>
                <w:color w:val="auto"/>
                <w:spacing w:val="0"/>
                <w:kern w:val="0"/>
                <w:sz w:val="22"/>
                <w:szCs w:val="22"/>
              </w:rPr>
              <w:t>%</w:t>
            </w:r>
          </w:p>
        </w:tc>
      </w:tr>
      <w:tr w:rsidR="0062527A" w:rsidRPr="00721761" w14:paraId="74182665" w14:textId="77777777" w:rsidTr="001821B2">
        <w:tc>
          <w:tcPr>
            <w:tcW w:w="2518" w:type="dxa"/>
            <w:shd w:val="clear" w:color="auto" w:fill="auto"/>
          </w:tcPr>
          <w:p w14:paraId="50E4B893" w14:textId="77777777" w:rsidR="0062527A" w:rsidRPr="00721761" w:rsidRDefault="0062527A" w:rsidP="001821B2">
            <w:pPr>
              <w:pStyle w:val="Heading1"/>
              <w:spacing w:before="0" w:after="0" w:line="240" w:lineRule="auto"/>
              <w:rPr>
                <w:bCs w:val="0"/>
                <w:color w:val="auto"/>
                <w:spacing w:val="0"/>
                <w:kern w:val="0"/>
                <w:sz w:val="22"/>
                <w:szCs w:val="22"/>
              </w:rPr>
            </w:pPr>
          </w:p>
        </w:tc>
        <w:tc>
          <w:tcPr>
            <w:tcW w:w="3969" w:type="dxa"/>
            <w:shd w:val="clear" w:color="auto" w:fill="auto"/>
          </w:tcPr>
          <w:p w14:paraId="7189C886" w14:textId="77777777" w:rsidR="0062527A" w:rsidRPr="00721761" w:rsidRDefault="0062527A" w:rsidP="001821B2">
            <w:pPr>
              <w:pStyle w:val="Heading1"/>
              <w:spacing w:before="0" w:after="0" w:line="240" w:lineRule="auto"/>
              <w:rPr>
                <w:bCs w:val="0"/>
                <w:color w:val="auto"/>
                <w:spacing w:val="0"/>
                <w:kern w:val="0"/>
                <w:sz w:val="22"/>
                <w:szCs w:val="22"/>
              </w:rPr>
            </w:pPr>
          </w:p>
        </w:tc>
        <w:tc>
          <w:tcPr>
            <w:tcW w:w="1559" w:type="dxa"/>
            <w:shd w:val="clear" w:color="auto" w:fill="auto"/>
          </w:tcPr>
          <w:p w14:paraId="4DDEB6D0" w14:textId="77777777" w:rsidR="0062527A" w:rsidRPr="00721761" w:rsidRDefault="0062527A" w:rsidP="001821B2">
            <w:pPr>
              <w:pStyle w:val="Heading1"/>
              <w:spacing w:before="0" w:after="0" w:line="240" w:lineRule="auto"/>
              <w:jc w:val="center"/>
              <w:rPr>
                <w:bCs w:val="0"/>
                <w:color w:val="auto"/>
                <w:spacing w:val="0"/>
                <w:kern w:val="0"/>
                <w:sz w:val="22"/>
                <w:szCs w:val="22"/>
              </w:rPr>
            </w:pPr>
          </w:p>
        </w:tc>
      </w:tr>
      <w:tr w:rsidR="0062527A" w:rsidRPr="00721761" w14:paraId="4C56217A" w14:textId="77777777" w:rsidTr="001821B2">
        <w:tc>
          <w:tcPr>
            <w:tcW w:w="2518" w:type="dxa"/>
            <w:shd w:val="clear" w:color="auto" w:fill="auto"/>
          </w:tcPr>
          <w:p w14:paraId="5D85F2EA" w14:textId="03A79083" w:rsidR="0062527A" w:rsidRPr="00721761" w:rsidRDefault="00E534B3" w:rsidP="001821B2">
            <w:pPr>
              <w:pStyle w:val="Heading1"/>
              <w:spacing w:before="0" w:after="0" w:line="240" w:lineRule="auto"/>
              <w:rPr>
                <w:bCs w:val="0"/>
                <w:color w:val="auto"/>
                <w:spacing w:val="0"/>
                <w:kern w:val="0"/>
                <w:sz w:val="22"/>
                <w:szCs w:val="22"/>
              </w:rPr>
            </w:pPr>
            <w:r>
              <w:rPr>
                <w:bCs w:val="0"/>
                <w:color w:val="auto"/>
                <w:spacing w:val="0"/>
                <w:kern w:val="0"/>
                <w:sz w:val="22"/>
                <w:szCs w:val="22"/>
              </w:rPr>
              <w:t>Balanced</w:t>
            </w:r>
            <w:r w:rsidR="00323903" w:rsidRPr="00721761">
              <w:rPr>
                <w:bCs w:val="0"/>
                <w:color w:val="auto"/>
                <w:spacing w:val="0"/>
                <w:kern w:val="0"/>
                <w:sz w:val="22"/>
                <w:szCs w:val="22"/>
              </w:rPr>
              <w:t xml:space="preserve"> </w:t>
            </w:r>
            <w:r w:rsidR="0062527A" w:rsidRPr="00721761">
              <w:rPr>
                <w:bCs w:val="0"/>
                <w:color w:val="auto"/>
                <w:spacing w:val="0"/>
                <w:kern w:val="0"/>
                <w:sz w:val="22"/>
                <w:szCs w:val="22"/>
              </w:rPr>
              <w:t>Managed</w:t>
            </w:r>
          </w:p>
        </w:tc>
        <w:tc>
          <w:tcPr>
            <w:tcW w:w="3969" w:type="dxa"/>
            <w:shd w:val="clear" w:color="auto" w:fill="auto"/>
          </w:tcPr>
          <w:p w14:paraId="76C4EF85" w14:textId="65A18671" w:rsidR="0062527A" w:rsidRPr="00721761" w:rsidRDefault="00E534B3" w:rsidP="001821B2">
            <w:pPr>
              <w:pStyle w:val="Heading1"/>
              <w:spacing w:before="0" w:after="0" w:line="240" w:lineRule="auto"/>
              <w:rPr>
                <w:bCs w:val="0"/>
                <w:color w:val="auto"/>
                <w:spacing w:val="0"/>
                <w:kern w:val="0"/>
                <w:sz w:val="22"/>
                <w:szCs w:val="22"/>
              </w:rPr>
            </w:pPr>
            <w:r>
              <w:rPr>
                <w:bCs w:val="0"/>
                <w:color w:val="auto"/>
                <w:spacing w:val="0"/>
                <w:kern w:val="0"/>
                <w:sz w:val="22"/>
                <w:szCs w:val="22"/>
              </w:rPr>
              <w:t>GMO, Jennison Associates</w:t>
            </w:r>
          </w:p>
        </w:tc>
        <w:tc>
          <w:tcPr>
            <w:tcW w:w="1559" w:type="dxa"/>
            <w:shd w:val="clear" w:color="auto" w:fill="auto"/>
          </w:tcPr>
          <w:p w14:paraId="7C25AC76" w14:textId="77777777"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15</w:t>
            </w:r>
          </w:p>
        </w:tc>
      </w:tr>
      <w:tr w:rsidR="0062527A" w:rsidRPr="00721761" w14:paraId="6C22575D" w14:textId="77777777" w:rsidTr="001821B2">
        <w:tc>
          <w:tcPr>
            <w:tcW w:w="2518" w:type="dxa"/>
            <w:shd w:val="clear" w:color="auto" w:fill="auto"/>
          </w:tcPr>
          <w:p w14:paraId="1F4F33D8"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Global Equity</w:t>
            </w:r>
          </w:p>
        </w:tc>
        <w:tc>
          <w:tcPr>
            <w:tcW w:w="3969" w:type="dxa"/>
            <w:shd w:val="clear" w:color="auto" w:fill="auto"/>
          </w:tcPr>
          <w:p w14:paraId="3C8495DF" w14:textId="77777777" w:rsidR="0062527A" w:rsidRPr="00721761" w:rsidRDefault="003340A1" w:rsidP="001821B2">
            <w:pPr>
              <w:pStyle w:val="Heading1"/>
              <w:spacing w:before="0" w:after="0" w:line="240" w:lineRule="auto"/>
              <w:rPr>
                <w:bCs w:val="0"/>
                <w:color w:val="auto"/>
                <w:spacing w:val="0"/>
                <w:kern w:val="0"/>
                <w:sz w:val="22"/>
                <w:szCs w:val="22"/>
              </w:rPr>
            </w:pPr>
            <w:r>
              <w:rPr>
                <w:bCs w:val="0"/>
                <w:color w:val="auto"/>
                <w:spacing w:val="0"/>
                <w:kern w:val="0"/>
                <w:sz w:val="22"/>
                <w:szCs w:val="22"/>
              </w:rPr>
              <w:t xml:space="preserve">Black Rock, </w:t>
            </w:r>
            <w:r w:rsidR="00FC15BC">
              <w:rPr>
                <w:bCs w:val="0"/>
                <w:color w:val="auto"/>
                <w:spacing w:val="0"/>
                <w:kern w:val="0"/>
                <w:sz w:val="22"/>
                <w:szCs w:val="22"/>
              </w:rPr>
              <w:t xml:space="preserve">Sands Capital, </w:t>
            </w:r>
            <w:proofErr w:type="spellStart"/>
            <w:r w:rsidR="00FC15BC">
              <w:rPr>
                <w:bCs w:val="0"/>
                <w:color w:val="auto"/>
                <w:spacing w:val="0"/>
                <w:kern w:val="0"/>
                <w:sz w:val="22"/>
                <w:szCs w:val="22"/>
              </w:rPr>
              <w:t>Edgepoint</w:t>
            </w:r>
            <w:proofErr w:type="spellEnd"/>
            <w:r w:rsidR="00FC15BC">
              <w:rPr>
                <w:bCs w:val="0"/>
                <w:color w:val="auto"/>
                <w:spacing w:val="0"/>
                <w:kern w:val="0"/>
                <w:sz w:val="22"/>
                <w:szCs w:val="22"/>
              </w:rPr>
              <w:t xml:space="preserve"> &amp; JO Hambro Capital Management</w:t>
            </w:r>
          </w:p>
        </w:tc>
        <w:tc>
          <w:tcPr>
            <w:tcW w:w="1559" w:type="dxa"/>
            <w:shd w:val="clear" w:color="auto" w:fill="auto"/>
          </w:tcPr>
          <w:p w14:paraId="457672E3" w14:textId="07485D17"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w:t>
            </w:r>
            <w:r w:rsidR="00E534B3">
              <w:rPr>
                <w:bCs w:val="0"/>
                <w:color w:val="auto"/>
                <w:spacing w:val="0"/>
                <w:kern w:val="0"/>
                <w:sz w:val="22"/>
                <w:szCs w:val="22"/>
              </w:rPr>
              <w:t>3</w:t>
            </w:r>
          </w:p>
        </w:tc>
      </w:tr>
      <w:tr w:rsidR="0062527A" w:rsidRPr="00721761" w14:paraId="56BB1B4E" w14:textId="77777777" w:rsidTr="001821B2">
        <w:tc>
          <w:tcPr>
            <w:tcW w:w="2518" w:type="dxa"/>
            <w:shd w:val="clear" w:color="auto" w:fill="auto"/>
          </w:tcPr>
          <w:p w14:paraId="7C7E7003" w14:textId="1E7EA982"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Managed</w:t>
            </w:r>
            <w:r w:rsidR="00E534B3">
              <w:rPr>
                <w:bCs w:val="0"/>
                <w:color w:val="auto"/>
                <w:spacing w:val="0"/>
                <w:kern w:val="0"/>
                <w:sz w:val="22"/>
                <w:szCs w:val="22"/>
              </w:rPr>
              <w:t xml:space="preserve"> Growth</w:t>
            </w:r>
          </w:p>
        </w:tc>
        <w:tc>
          <w:tcPr>
            <w:tcW w:w="3969" w:type="dxa"/>
            <w:shd w:val="clear" w:color="auto" w:fill="auto"/>
          </w:tcPr>
          <w:p w14:paraId="199C0C38" w14:textId="77777777" w:rsidR="0062527A" w:rsidRPr="00721761" w:rsidRDefault="00323903" w:rsidP="001821B2">
            <w:pPr>
              <w:pStyle w:val="Heading1"/>
              <w:spacing w:before="0" w:after="0" w:line="240" w:lineRule="auto"/>
              <w:rPr>
                <w:bCs w:val="0"/>
                <w:color w:val="auto"/>
                <w:spacing w:val="0"/>
                <w:kern w:val="0"/>
                <w:sz w:val="22"/>
                <w:szCs w:val="22"/>
              </w:rPr>
            </w:pPr>
            <w:r>
              <w:rPr>
                <w:bCs w:val="0"/>
                <w:color w:val="auto"/>
                <w:spacing w:val="0"/>
                <w:kern w:val="0"/>
                <w:sz w:val="22"/>
                <w:szCs w:val="22"/>
              </w:rPr>
              <w:t>Schroders</w:t>
            </w:r>
          </w:p>
        </w:tc>
        <w:tc>
          <w:tcPr>
            <w:tcW w:w="1559" w:type="dxa"/>
            <w:shd w:val="clear" w:color="auto" w:fill="auto"/>
          </w:tcPr>
          <w:p w14:paraId="128D6DD4" w14:textId="77777777"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15</w:t>
            </w:r>
          </w:p>
        </w:tc>
      </w:tr>
      <w:tr w:rsidR="0062527A" w:rsidRPr="00721761" w14:paraId="56257DFA" w14:textId="77777777" w:rsidTr="001821B2">
        <w:tc>
          <w:tcPr>
            <w:tcW w:w="2518" w:type="dxa"/>
            <w:shd w:val="clear" w:color="auto" w:fill="auto"/>
          </w:tcPr>
          <w:p w14:paraId="63136F80"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Strategic Managed</w:t>
            </w:r>
          </w:p>
        </w:tc>
        <w:tc>
          <w:tcPr>
            <w:tcW w:w="3969" w:type="dxa"/>
            <w:shd w:val="clear" w:color="auto" w:fill="auto"/>
          </w:tcPr>
          <w:p w14:paraId="7BA97E7A" w14:textId="49E4296F" w:rsidR="0062527A" w:rsidRPr="00721761" w:rsidRDefault="00803421" w:rsidP="001821B2">
            <w:pPr>
              <w:pStyle w:val="Heading1"/>
              <w:spacing w:before="0" w:after="0" w:line="240" w:lineRule="auto"/>
              <w:rPr>
                <w:bCs w:val="0"/>
                <w:color w:val="auto"/>
                <w:spacing w:val="0"/>
                <w:kern w:val="0"/>
                <w:sz w:val="22"/>
                <w:szCs w:val="22"/>
              </w:rPr>
            </w:pPr>
            <w:r>
              <w:rPr>
                <w:bCs w:val="0"/>
                <w:color w:val="auto"/>
                <w:spacing w:val="0"/>
                <w:kern w:val="0"/>
                <w:sz w:val="22"/>
                <w:szCs w:val="22"/>
              </w:rPr>
              <w:t>Columbia Threadneedle</w:t>
            </w:r>
          </w:p>
        </w:tc>
        <w:tc>
          <w:tcPr>
            <w:tcW w:w="1559" w:type="dxa"/>
            <w:shd w:val="clear" w:color="auto" w:fill="auto"/>
          </w:tcPr>
          <w:p w14:paraId="30660DA0" w14:textId="77777777"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15</w:t>
            </w:r>
          </w:p>
        </w:tc>
      </w:tr>
      <w:tr w:rsidR="0062527A" w:rsidRPr="00721761" w14:paraId="256E636C" w14:textId="77777777" w:rsidTr="001821B2">
        <w:tc>
          <w:tcPr>
            <w:tcW w:w="2518" w:type="dxa"/>
            <w:shd w:val="clear" w:color="auto" w:fill="auto"/>
          </w:tcPr>
          <w:p w14:paraId="775ECB44"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Worldwide Managed</w:t>
            </w:r>
          </w:p>
        </w:tc>
        <w:tc>
          <w:tcPr>
            <w:tcW w:w="3969" w:type="dxa"/>
            <w:shd w:val="clear" w:color="auto" w:fill="auto"/>
          </w:tcPr>
          <w:p w14:paraId="0AA8DBAE" w14:textId="3B25DC9B" w:rsidR="0062527A" w:rsidRPr="00721761" w:rsidRDefault="00803421" w:rsidP="001821B2">
            <w:pPr>
              <w:pStyle w:val="Heading1"/>
              <w:spacing w:before="0" w:after="0" w:line="240" w:lineRule="auto"/>
              <w:rPr>
                <w:bCs w:val="0"/>
                <w:color w:val="auto"/>
                <w:spacing w:val="0"/>
                <w:kern w:val="0"/>
                <w:sz w:val="22"/>
                <w:szCs w:val="22"/>
              </w:rPr>
            </w:pPr>
            <w:r>
              <w:rPr>
                <w:bCs w:val="0"/>
                <w:color w:val="auto"/>
                <w:spacing w:val="0"/>
                <w:kern w:val="0"/>
                <w:sz w:val="22"/>
                <w:szCs w:val="22"/>
              </w:rPr>
              <w:t xml:space="preserve">Burgundy, </w:t>
            </w:r>
            <w:r w:rsidR="00E534B3">
              <w:rPr>
                <w:bCs w:val="0"/>
                <w:color w:val="auto"/>
                <w:spacing w:val="0"/>
                <w:kern w:val="0"/>
                <w:sz w:val="22"/>
                <w:szCs w:val="22"/>
              </w:rPr>
              <w:t>Sands Capital, Artisan Partners</w:t>
            </w:r>
            <w:r>
              <w:rPr>
                <w:bCs w:val="0"/>
                <w:color w:val="auto"/>
                <w:spacing w:val="0"/>
                <w:kern w:val="0"/>
                <w:sz w:val="22"/>
                <w:szCs w:val="22"/>
              </w:rPr>
              <w:t xml:space="preserve"> and Select Equity</w:t>
            </w:r>
          </w:p>
        </w:tc>
        <w:tc>
          <w:tcPr>
            <w:tcW w:w="1559" w:type="dxa"/>
            <w:shd w:val="clear" w:color="auto" w:fill="auto"/>
          </w:tcPr>
          <w:p w14:paraId="0B004BF3" w14:textId="5D7E1DF9"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w:t>
            </w:r>
            <w:r w:rsidR="00E534B3">
              <w:rPr>
                <w:bCs w:val="0"/>
                <w:color w:val="auto"/>
                <w:spacing w:val="0"/>
                <w:kern w:val="0"/>
                <w:sz w:val="22"/>
                <w:szCs w:val="22"/>
              </w:rPr>
              <w:t>7</w:t>
            </w:r>
          </w:p>
        </w:tc>
      </w:tr>
      <w:tr w:rsidR="0062527A" w:rsidRPr="00721761" w14:paraId="754A8F1A" w14:textId="77777777" w:rsidTr="001821B2">
        <w:tc>
          <w:tcPr>
            <w:tcW w:w="2518" w:type="dxa"/>
            <w:shd w:val="clear" w:color="auto" w:fill="auto"/>
          </w:tcPr>
          <w:p w14:paraId="16E8FE47"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Global Managed</w:t>
            </w:r>
          </w:p>
        </w:tc>
        <w:tc>
          <w:tcPr>
            <w:tcW w:w="3969" w:type="dxa"/>
            <w:shd w:val="clear" w:color="auto" w:fill="auto"/>
          </w:tcPr>
          <w:p w14:paraId="036FADAF" w14:textId="61BA2404" w:rsidR="0062527A" w:rsidRPr="00721761" w:rsidRDefault="00803421" w:rsidP="001821B2">
            <w:pPr>
              <w:pStyle w:val="Heading1"/>
              <w:spacing w:before="0" w:after="0" w:line="240" w:lineRule="auto"/>
              <w:rPr>
                <w:bCs w:val="0"/>
                <w:color w:val="auto"/>
                <w:spacing w:val="0"/>
                <w:kern w:val="0"/>
                <w:sz w:val="22"/>
                <w:szCs w:val="22"/>
              </w:rPr>
            </w:pPr>
            <w:r>
              <w:rPr>
                <w:bCs w:val="0"/>
                <w:color w:val="auto"/>
                <w:spacing w:val="0"/>
                <w:kern w:val="0"/>
                <w:sz w:val="22"/>
                <w:szCs w:val="22"/>
              </w:rPr>
              <w:t>Artisan Partners</w:t>
            </w:r>
          </w:p>
        </w:tc>
        <w:tc>
          <w:tcPr>
            <w:tcW w:w="1559" w:type="dxa"/>
            <w:shd w:val="clear" w:color="auto" w:fill="auto"/>
          </w:tcPr>
          <w:p w14:paraId="6E66B56A" w14:textId="3C5AE9D2"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w:t>
            </w:r>
            <w:r w:rsidR="00E534B3">
              <w:rPr>
                <w:bCs w:val="0"/>
                <w:color w:val="auto"/>
                <w:spacing w:val="0"/>
                <w:kern w:val="0"/>
                <w:sz w:val="22"/>
                <w:szCs w:val="22"/>
              </w:rPr>
              <w:t>1</w:t>
            </w:r>
          </w:p>
        </w:tc>
      </w:tr>
      <w:tr w:rsidR="0062527A" w:rsidRPr="00721761" w14:paraId="1B613FB4" w14:textId="77777777" w:rsidTr="001821B2">
        <w:tc>
          <w:tcPr>
            <w:tcW w:w="2518" w:type="dxa"/>
            <w:shd w:val="clear" w:color="auto" w:fill="auto"/>
          </w:tcPr>
          <w:p w14:paraId="4860D25A"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International Equity</w:t>
            </w:r>
          </w:p>
        </w:tc>
        <w:tc>
          <w:tcPr>
            <w:tcW w:w="3969" w:type="dxa"/>
            <w:shd w:val="clear" w:color="auto" w:fill="auto"/>
          </w:tcPr>
          <w:p w14:paraId="4572B4EA" w14:textId="3D049561" w:rsidR="0062527A" w:rsidRPr="00721761" w:rsidRDefault="00803421" w:rsidP="001821B2">
            <w:pPr>
              <w:pStyle w:val="Heading1"/>
              <w:spacing w:before="0" w:after="0" w:line="240" w:lineRule="auto"/>
              <w:rPr>
                <w:bCs w:val="0"/>
                <w:color w:val="auto"/>
                <w:spacing w:val="0"/>
                <w:kern w:val="0"/>
                <w:sz w:val="22"/>
                <w:szCs w:val="22"/>
              </w:rPr>
            </w:pPr>
            <w:r>
              <w:rPr>
                <w:bCs w:val="0"/>
                <w:color w:val="auto"/>
                <w:spacing w:val="0"/>
                <w:kern w:val="0"/>
                <w:sz w:val="22"/>
                <w:szCs w:val="22"/>
              </w:rPr>
              <w:t>Magellan</w:t>
            </w:r>
          </w:p>
        </w:tc>
        <w:tc>
          <w:tcPr>
            <w:tcW w:w="1559" w:type="dxa"/>
            <w:shd w:val="clear" w:color="auto" w:fill="auto"/>
          </w:tcPr>
          <w:p w14:paraId="5C935643" w14:textId="7CEC8A7D"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w:t>
            </w:r>
            <w:r w:rsidR="00E534B3">
              <w:rPr>
                <w:bCs w:val="0"/>
                <w:color w:val="auto"/>
                <w:spacing w:val="0"/>
                <w:kern w:val="0"/>
                <w:sz w:val="22"/>
                <w:szCs w:val="22"/>
              </w:rPr>
              <w:t>2</w:t>
            </w:r>
          </w:p>
        </w:tc>
      </w:tr>
      <w:tr w:rsidR="0062527A" w:rsidRPr="00721761" w14:paraId="6FB00F81" w14:textId="77777777" w:rsidTr="001821B2">
        <w:tc>
          <w:tcPr>
            <w:tcW w:w="2518" w:type="dxa"/>
            <w:shd w:val="clear" w:color="auto" w:fill="auto"/>
          </w:tcPr>
          <w:p w14:paraId="7CD59D6D"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Property</w:t>
            </w:r>
          </w:p>
        </w:tc>
        <w:tc>
          <w:tcPr>
            <w:tcW w:w="3969" w:type="dxa"/>
            <w:shd w:val="clear" w:color="auto" w:fill="auto"/>
          </w:tcPr>
          <w:p w14:paraId="2A0551EA" w14:textId="73E3819A" w:rsidR="0062527A" w:rsidRPr="00721761" w:rsidRDefault="00803421" w:rsidP="001821B2">
            <w:pPr>
              <w:pStyle w:val="Heading1"/>
              <w:spacing w:before="0" w:after="0" w:line="240" w:lineRule="auto"/>
              <w:rPr>
                <w:bCs w:val="0"/>
                <w:color w:val="auto"/>
                <w:spacing w:val="0"/>
                <w:kern w:val="0"/>
                <w:sz w:val="22"/>
                <w:szCs w:val="22"/>
              </w:rPr>
            </w:pPr>
            <w:r>
              <w:rPr>
                <w:bCs w:val="0"/>
                <w:color w:val="auto"/>
                <w:spacing w:val="0"/>
                <w:kern w:val="0"/>
                <w:sz w:val="22"/>
                <w:szCs w:val="22"/>
              </w:rPr>
              <w:t>Orchard Street</w:t>
            </w:r>
          </w:p>
        </w:tc>
        <w:tc>
          <w:tcPr>
            <w:tcW w:w="1559" w:type="dxa"/>
            <w:shd w:val="clear" w:color="auto" w:fill="auto"/>
          </w:tcPr>
          <w:p w14:paraId="29244677" w14:textId="7580242C" w:rsidR="0062527A" w:rsidRPr="00721761" w:rsidRDefault="00E534B3" w:rsidP="001821B2">
            <w:pPr>
              <w:pStyle w:val="Heading1"/>
              <w:spacing w:before="0" w:after="0" w:line="240" w:lineRule="auto"/>
              <w:jc w:val="center"/>
              <w:rPr>
                <w:bCs w:val="0"/>
                <w:color w:val="auto"/>
                <w:spacing w:val="0"/>
                <w:kern w:val="0"/>
                <w:sz w:val="22"/>
                <w:szCs w:val="22"/>
              </w:rPr>
            </w:pPr>
            <w:r>
              <w:rPr>
                <w:bCs w:val="0"/>
                <w:color w:val="auto"/>
                <w:spacing w:val="0"/>
                <w:kern w:val="0"/>
                <w:sz w:val="22"/>
                <w:szCs w:val="22"/>
              </w:rPr>
              <w:t>2</w:t>
            </w:r>
          </w:p>
        </w:tc>
      </w:tr>
      <w:tr w:rsidR="0062527A" w:rsidRPr="00721761" w14:paraId="449C6C7F" w14:textId="77777777" w:rsidTr="001821B2">
        <w:tc>
          <w:tcPr>
            <w:tcW w:w="2518" w:type="dxa"/>
            <w:shd w:val="clear" w:color="auto" w:fill="auto"/>
          </w:tcPr>
          <w:p w14:paraId="504FC49E" w14:textId="77777777" w:rsidR="0062527A" w:rsidRPr="00721761" w:rsidRDefault="0062527A" w:rsidP="001821B2">
            <w:pPr>
              <w:pStyle w:val="Heading1"/>
              <w:spacing w:before="0" w:after="0" w:line="240" w:lineRule="auto"/>
              <w:rPr>
                <w:bCs w:val="0"/>
                <w:color w:val="auto"/>
                <w:spacing w:val="0"/>
                <w:kern w:val="0"/>
                <w:sz w:val="22"/>
                <w:szCs w:val="22"/>
              </w:rPr>
            </w:pPr>
          </w:p>
        </w:tc>
        <w:tc>
          <w:tcPr>
            <w:tcW w:w="3969" w:type="dxa"/>
            <w:shd w:val="clear" w:color="auto" w:fill="auto"/>
          </w:tcPr>
          <w:p w14:paraId="1F36CBE0" w14:textId="77777777" w:rsidR="0062527A" w:rsidRPr="00721761" w:rsidRDefault="0062527A" w:rsidP="001821B2">
            <w:pPr>
              <w:pStyle w:val="Heading1"/>
              <w:spacing w:before="0" w:after="0" w:line="240" w:lineRule="auto"/>
              <w:rPr>
                <w:bCs w:val="0"/>
                <w:color w:val="auto"/>
                <w:spacing w:val="0"/>
                <w:kern w:val="0"/>
                <w:sz w:val="22"/>
                <w:szCs w:val="22"/>
              </w:rPr>
            </w:pPr>
          </w:p>
        </w:tc>
        <w:tc>
          <w:tcPr>
            <w:tcW w:w="1559" w:type="dxa"/>
            <w:shd w:val="clear" w:color="auto" w:fill="auto"/>
          </w:tcPr>
          <w:p w14:paraId="14380820" w14:textId="77777777" w:rsidR="0062527A" w:rsidRPr="00721761" w:rsidRDefault="0062527A" w:rsidP="001821B2">
            <w:pPr>
              <w:pStyle w:val="Heading1"/>
              <w:spacing w:before="0" w:after="0" w:line="240" w:lineRule="auto"/>
              <w:jc w:val="center"/>
              <w:rPr>
                <w:bCs w:val="0"/>
                <w:color w:val="auto"/>
                <w:spacing w:val="0"/>
                <w:kern w:val="0"/>
                <w:sz w:val="22"/>
                <w:szCs w:val="22"/>
              </w:rPr>
            </w:pPr>
          </w:p>
        </w:tc>
      </w:tr>
      <w:tr w:rsidR="0062527A" w:rsidRPr="00721761" w14:paraId="4EFC837E" w14:textId="77777777" w:rsidTr="001821B2">
        <w:tc>
          <w:tcPr>
            <w:tcW w:w="2518" w:type="dxa"/>
            <w:shd w:val="clear" w:color="auto" w:fill="auto"/>
          </w:tcPr>
          <w:p w14:paraId="3FFB18CE" w14:textId="77777777" w:rsidR="0062527A" w:rsidRPr="00721761" w:rsidRDefault="0062527A" w:rsidP="001821B2">
            <w:pPr>
              <w:pStyle w:val="Heading1"/>
              <w:spacing w:before="0" w:after="0" w:line="240" w:lineRule="auto"/>
              <w:rPr>
                <w:bCs w:val="0"/>
                <w:color w:val="auto"/>
                <w:spacing w:val="0"/>
                <w:kern w:val="0"/>
                <w:sz w:val="22"/>
                <w:szCs w:val="22"/>
              </w:rPr>
            </w:pPr>
            <w:r w:rsidRPr="00721761">
              <w:rPr>
                <w:bCs w:val="0"/>
                <w:color w:val="auto"/>
                <w:spacing w:val="0"/>
                <w:kern w:val="0"/>
                <w:sz w:val="22"/>
                <w:szCs w:val="22"/>
              </w:rPr>
              <w:t>Total</w:t>
            </w:r>
          </w:p>
        </w:tc>
        <w:tc>
          <w:tcPr>
            <w:tcW w:w="3969" w:type="dxa"/>
            <w:shd w:val="clear" w:color="auto" w:fill="auto"/>
          </w:tcPr>
          <w:p w14:paraId="1EF37A6B" w14:textId="77777777" w:rsidR="0062527A" w:rsidRPr="00721761" w:rsidRDefault="0062527A" w:rsidP="001821B2">
            <w:pPr>
              <w:pStyle w:val="Heading1"/>
              <w:spacing w:before="0" w:after="0" w:line="240" w:lineRule="auto"/>
              <w:rPr>
                <w:bCs w:val="0"/>
                <w:color w:val="auto"/>
                <w:spacing w:val="0"/>
                <w:kern w:val="0"/>
                <w:sz w:val="22"/>
                <w:szCs w:val="22"/>
              </w:rPr>
            </w:pPr>
          </w:p>
        </w:tc>
        <w:tc>
          <w:tcPr>
            <w:tcW w:w="1559" w:type="dxa"/>
            <w:shd w:val="clear" w:color="auto" w:fill="auto"/>
          </w:tcPr>
          <w:p w14:paraId="7DAC1DB4" w14:textId="77777777" w:rsidR="0062527A" w:rsidRPr="00721761" w:rsidRDefault="0062527A" w:rsidP="001821B2">
            <w:pPr>
              <w:pStyle w:val="Heading1"/>
              <w:spacing w:before="0" w:after="0" w:line="240" w:lineRule="auto"/>
              <w:jc w:val="center"/>
              <w:rPr>
                <w:bCs w:val="0"/>
                <w:color w:val="auto"/>
                <w:spacing w:val="0"/>
                <w:kern w:val="0"/>
                <w:sz w:val="22"/>
                <w:szCs w:val="22"/>
              </w:rPr>
            </w:pPr>
            <w:r w:rsidRPr="00721761">
              <w:rPr>
                <w:bCs w:val="0"/>
                <w:color w:val="auto"/>
                <w:spacing w:val="0"/>
                <w:kern w:val="0"/>
                <w:sz w:val="22"/>
                <w:szCs w:val="22"/>
              </w:rPr>
              <w:t>100</w:t>
            </w:r>
          </w:p>
        </w:tc>
      </w:tr>
    </w:tbl>
    <w:p w14:paraId="49E6BC50" w14:textId="77777777" w:rsidR="000026ED" w:rsidRDefault="000026ED" w:rsidP="0086392B">
      <w:pPr>
        <w:pStyle w:val="Heading1"/>
        <w:spacing w:before="0" w:after="0" w:line="240" w:lineRule="auto"/>
        <w:rPr>
          <w:rFonts w:cs="Times New Roman"/>
          <w:bCs w:val="0"/>
          <w:color w:val="auto"/>
          <w:spacing w:val="0"/>
          <w:kern w:val="0"/>
          <w:sz w:val="22"/>
          <w:szCs w:val="22"/>
        </w:rPr>
      </w:pPr>
    </w:p>
    <w:p w14:paraId="593924C6" w14:textId="29A21405" w:rsidR="000434E5" w:rsidRDefault="000434E5" w:rsidP="0086392B">
      <w:pPr>
        <w:pStyle w:val="Heading1"/>
        <w:spacing w:before="0" w:after="0" w:line="240" w:lineRule="auto"/>
        <w:rPr>
          <w:rFonts w:cs="Times New Roman"/>
          <w:bCs w:val="0"/>
          <w:color w:val="auto"/>
          <w:spacing w:val="0"/>
          <w:kern w:val="0"/>
          <w:sz w:val="22"/>
          <w:szCs w:val="22"/>
        </w:rPr>
      </w:pPr>
      <w:r>
        <w:rPr>
          <w:rFonts w:cs="Times New Roman"/>
          <w:bCs w:val="0"/>
          <w:color w:val="auto"/>
          <w:spacing w:val="0"/>
          <w:kern w:val="0"/>
          <w:sz w:val="22"/>
          <w:szCs w:val="22"/>
        </w:rPr>
        <w:t xml:space="preserve">The Income Fund </w:t>
      </w:r>
      <w:r w:rsidR="00B0197B">
        <w:rPr>
          <w:rFonts w:cs="Times New Roman"/>
          <w:bCs w:val="0"/>
          <w:color w:val="auto"/>
          <w:spacing w:val="0"/>
          <w:kern w:val="0"/>
          <w:sz w:val="22"/>
          <w:szCs w:val="22"/>
        </w:rPr>
        <w:t>has</w:t>
      </w:r>
      <w:r w:rsidR="00323903">
        <w:rPr>
          <w:rFonts w:cs="Times New Roman"/>
          <w:bCs w:val="0"/>
          <w:color w:val="auto"/>
          <w:spacing w:val="0"/>
          <w:kern w:val="0"/>
          <w:sz w:val="22"/>
          <w:szCs w:val="22"/>
        </w:rPr>
        <w:t xml:space="preserve"> the following c</w:t>
      </w:r>
      <w:r>
        <w:rPr>
          <w:rFonts w:cs="Times New Roman"/>
          <w:bCs w:val="0"/>
          <w:color w:val="auto"/>
          <w:spacing w:val="0"/>
          <w:kern w:val="0"/>
          <w:sz w:val="22"/>
          <w:szCs w:val="22"/>
        </w:rPr>
        <w:t>omposition:</w:t>
      </w:r>
    </w:p>
    <w:p w14:paraId="0044B4E6" w14:textId="77777777" w:rsidR="000434E5" w:rsidRDefault="000434E5" w:rsidP="0086392B">
      <w:pPr>
        <w:pStyle w:val="Heading1"/>
        <w:spacing w:before="0" w:after="0" w:line="240" w:lineRule="auto"/>
        <w:rPr>
          <w:rFonts w:cs="Times New Roman"/>
          <w:bCs w:val="0"/>
          <w:color w:val="auto"/>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257"/>
        <w:gridCol w:w="1559"/>
      </w:tblGrid>
      <w:tr w:rsidR="000026ED" w:rsidRPr="00721761" w14:paraId="1C1B0386" w14:textId="77777777" w:rsidTr="000026ED">
        <w:tc>
          <w:tcPr>
            <w:tcW w:w="2259" w:type="dxa"/>
            <w:shd w:val="clear" w:color="auto" w:fill="auto"/>
          </w:tcPr>
          <w:p w14:paraId="66DC7D6C" w14:textId="77777777" w:rsidR="000026ED" w:rsidRPr="00721761" w:rsidRDefault="000026ED" w:rsidP="00721761">
            <w:pPr>
              <w:pStyle w:val="Heading1"/>
              <w:spacing w:before="0" w:after="0" w:line="240" w:lineRule="auto"/>
              <w:rPr>
                <w:bCs w:val="0"/>
                <w:color w:val="auto"/>
                <w:spacing w:val="0"/>
                <w:kern w:val="0"/>
                <w:sz w:val="22"/>
                <w:szCs w:val="22"/>
              </w:rPr>
            </w:pPr>
            <w:r w:rsidRPr="00721761">
              <w:rPr>
                <w:b/>
                <w:bCs w:val="0"/>
                <w:color w:val="auto"/>
                <w:spacing w:val="0"/>
                <w:kern w:val="0"/>
                <w:sz w:val="22"/>
                <w:szCs w:val="22"/>
              </w:rPr>
              <w:t>Fund</w:t>
            </w:r>
          </w:p>
        </w:tc>
        <w:tc>
          <w:tcPr>
            <w:tcW w:w="4257" w:type="dxa"/>
            <w:shd w:val="clear" w:color="auto" w:fill="auto"/>
          </w:tcPr>
          <w:p w14:paraId="33C475F9" w14:textId="77777777" w:rsidR="000026ED" w:rsidRPr="00721761" w:rsidRDefault="000026ED" w:rsidP="00721761">
            <w:pPr>
              <w:pStyle w:val="Heading1"/>
              <w:spacing w:before="0" w:after="0" w:line="240" w:lineRule="auto"/>
              <w:rPr>
                <w:b/>
                <w:bCs w:val="0"/>
                <w:color w:val="auto"/>
                <w:spacing w:val="0"/>
                <w:kern w:val="0"/>
                <w:sz w:val="22"/>
                <w:szCs w:val="22"/>
              </w:rPr>
            </w:pPr>
            <w:r w:rsidRPr="00721761">
              <w:rPr>
                <w:b/>
                <w:bCs w:val="0"/>
                <w:color w:val="auto"/>
                <w:spacing w:val="0"/>
                <w:kern w:val="0"/>
                <w:sz w:val="22"/>
                <w:szCs w:val="22"/>
              </w:rPr>
              <w:t>Manager(s)</w:t>
            </w:r>
          </w:p>
        </w:tc>
        <w:tc>
          <w:tcPr>
            <w:tcW w:w="1559" w:type="dxa"/>
            <w:shd w:val="clear" w:color="auto" w:fill="auto"/>
          </w:tcPr>
          <w:p w14:paraId="12EE9C3D" w14:textId="27B57719" w:rsidR="000026ED" w:rsidRPr="00721761" w:rsidRDefault="000026ED" w:rsidP="00721761">
            <w:pPr>
              <w:pStyle w:val="Heading1"/>
              <w:spacing w:before="0" w:after="0" w:line="240" w:lineRule="auto"/>
              <w:jc w:val="center"/>
              <w:rPr>
                <w:b/>
                <w:bCs w:val="0"/>
                <w:color w:val="auto"/>
                <w:spacing w:val="0"/>
                <w:kern w:val="0"/>
                <w:sz w:val="22"/>
                <w:szCs w:val="22"/>
              </w:rPr>
            </w:pPr>
            <w:r w:rsidRPr="00721761">
              <w:rPr>
                <w:b/>
                <w:bCs w:val="0"/>
                <w:color w:val="auto"/>
                <w:spacing w:val="0"/>
                <w:kern w:val="0"/>
                <w:sz w:val="22"/>
                <w:szCs w:val="22"/>
              </w:rPr>
              <w:t>%</w:t>
            </w:r>
          </w:p>
        </w:tc>
      </w:tr>
      <w:tr w:rsidR="000026ED" w:rsidRPr="00721761" w14:paraId="7111E918" w14:textId="77777777" w:rsidTr="000026ED">
        <w:tc>
          <w:tcPr>
            <w:tcW w:w="2259" w:type="dxa"/>
            <w:shd w:val="clear" w:color="auto" w:fill="auto"/>
          </w:tcPr>
          <w:p w14:paraId="5362FB54" w14:textId="77777777" w:rsidR="000026ED" w:rsidRPr="00721761" w:rsidRDefault="000026ED" w:rsidP="00721761">
            <w:pPr>
              <w:pStyle w:val="Heading1"/>
              <w:spacing w:before="0" w:after="0" w:line="240" w:lineRule="auto"/>
              <w:rPr>
                <w:b/>
                <w:color w:val="auto"/>
                <w:sz w:val="22"/>
                <w:szCs w:val="22"/>
              </w:rPr>
            </w:pPr>
          </w:p>
        </w:tc>
        <w:tc>
          <w:tcPr>
            <w:tcW w:w="4257" w:type="dxa"/>
            <w:shd w:val="clear" w:color="auto" w:fill="auto"/>
          </w:tcPr>
          <w:p w14:paraId="1750A294" w14:textId="77777777" w:rsidR="000026ED" w:rsidRPr="00721761" w:rsidRDefault="000026ED" w:rsidP="00721761">
            <w:pPr>
              <w:pStyle w:val="Heading1"/>
              <w:spacing w:before="0" w:after="0" w:line="240" w:lineRule="auto"/>
              <w:rPr>
                <w:b/>
                <w:color w:val="auto"/>
                <w:sz w:val="22"/>
                <w:szCs w:val="22"/>
              </w:rPr>
            </w:pPr>
          </w:p>
        </w:tc>
        <w:tc>
          <w:tcPr>
            <w:tcW w:w="1559" w:type="dxa"/>
            <w:shd w:val="clear" w:color="auto" w:fill="auto"/>
          </w:tcPr>
          <w:p w14:paraId="0B79D22C" w14:textId="622E5D12" w:rsidR="000026ED" w:rsidRPr="00721761" w:rsidRDefault="000026ED" w:rsidP="00721761">
            <w:pPr>
              <w:pStyle w:val="Heading1"/>
              <w:spacing w:before="0" w:after="0" w:line="240" w:lineRule="auto"/>
              <w:jc w:val="center"/>
              <w:rPr>
                <w:b/>
                <w:color w:val="auto"/>
                <w:sz w:val="22"/>
                <w:szCs w:val="22"/>
              </w:rPr>
            </w:pPr>
          </w:p>
        </w:tc>
      </w:tr>
      <w:tr w:rsidR="000026ED" w:rsidRPr="00721761" w14:paraId="2809FE72" w14:textId="77777777" w:rsidTr="000026ED">
        <w:tc>
          <w:tcPr>
            <w:tcW w:w="2259" w:type="dxa"/>
            <w:shd w:val="clear" w:color="auto" w:fill="auto"/>
          </w:tcPr>
          <w:p w14:paraId="572831DB"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Diversified bond</w:t>
            </w:r>
          </w:p>
        </w:tc>
        <w:tc>
          <w:tcPr>
            <w:tcW w:w="4257" w:type="dxa"/>
            <w:shd w:val="clear" w:color="auto" w:fill="auto"/>
          </w:tcPr>
          <w:p w14:paraId="3C0D8D61"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 xml:space="preserve">Brigade Capital Management, </w:t>
            </w:r>
            <w:proofErr w:type="spellStart"/>
            <w:r w:rsidRPr="00721761">
              <w:rPr>
                <w:color w:val="auto"/>
                <w:sz w:val="22"/>
                <w:szCs w:val="22"/>
              </w:rPr>
              <w:t>Payden</w:t>
            </w:r>
            <w:proofErr w:type="spellEnd"/>
            <w:r w:rsidRPr="00721761">
              <w:rPr>
                <w:color w:val="auto"/>
                <w:sz w:val="22"/>
                <w:szCs w:val="22"/>
              </w:rPr>
              <w:t xml:space="preserve"> &amp; </w:t>
            </w:r>
            <w:proofErr w:type="spellStart"/>
            <w:r w:rsidRPr="00721761">
              <w:rPr>
                <w:color w:val="auto"/>
                <w:sz w:val="22"/>
                <w:szCs w:val="22"/>
              </w:rPr>
              <w:t>Rygel</w:t>
            </w:r>
            <w:proofErr w:type="spellEnd"/>
            <w:r w:rsidRPr="00721761">
              <w:rPr>
                <w:color w:val="auto"/>
                <w:sz w:val="22"/>
                <w:szCs w:val="22"/>
              </w:rPr>
              <w:t xml:space="preserve">, </w:t>
            </w:r>
            <w:proofErr w:type="spellStart"/>
            <w:r w:rsidRPr="00721761">
              <w:rPr>
                <w:color w:val="auto"/>
                <w:sz w:val="22"/>
                <w:szCs w:val="22"/>
              </w:rPr>
              <w:t>TwentyFour</w:t>
            </w:r>
            <w:proofErr w:type="spellEnd"/>
            <w:r w:rsidRPr="00721761">
              <w:rPr>
                <w:color w:val="auto"/>
                <w:sz w:val="22"/>
                <w:szCs w:val="22"/>
              </w:rPr>
              <w:t xml:space="preserve"> Asset Management</w:t>
            </w:r>
          </w:p>
        </w:tc>
        <w:tc>
          <w:tcPr>
            <w:tcW w:w="1559" w:type="dxa"/>
            <w:shd w:val="clear" w:color="auto" w:fill="auto"/>
          </w:tcPr>
          <w:p w14:paraId="6EF58E83" w14:textId="6A480739" w:rsidR="000026ED" w:rsidRPr="00721761" w:rsidRDefault="000026ED" w:rsidP="00721761">
            <w:pPr>
              <w:pStyle w:val="Heading1"/>
              <w:spacing w:before="0" w:after="0" w:line="240" w:lineRule="auto"/>
              <w:jc w:val="center"/>
              <w:rPr>
                <w:color w:val="auto"/>
                <w:sz w:val="22"/>
                <w:szCs w:val="22"/>
              </w:rPr>
            </w:pPr>
            <w:r>
              <w:rPr>
                <w:color w:val="auto"/>
                <w:sz w:val="22"/>
                <w:szCs w:val="22"/>
              </w:rPr>
              <w:t>16</w:t>
            </w:r>
          </w:p>
        </w:tc>
      </w:tr>
      <w:tr w:rsidR="000026ED" w:rsidRPr="00721761" w14:paraId="339126F2" w14:textId="77777777" w:rsidTr="000026ED">
        <w:tc>
          <w:tcPr>
            <w:tcW w:w="2259" w:type="dxa"/>
            <w:shd w:val="clear" w:color="auto" w:fill="auto"/>
          </w:tcPr>
          <w:p w14:paraId="2273132A" w14:textId="6B987280" w:rsidR="000026ED" w:rsidRPr="00721761" w:rsidRDefault="000026ED" w:rsidP="00721761">
            <w:pPr>
              <w:pStyle w:val="Heading1"/>
              <w:spacing w:before="0" w:after="0" w:line="240" w:lineRule="auto"/>
              <w:rPr>
                <w:color w:val="auto"/>
                <w:sz w:val="22"/>
                <w:szCs w:val="22"/>
              </w:rPr>
            </w:pPr>
            <w:r w:rsidRPr="00721761">
              <w:rPr>
                <w:color w:val="auto"/>
                <w:sz w:val="22"/>
                <w:szCs w:val="22"/>
              </w:rPr>
              <w:t xml:space="preserve">Global </w:t>
            </w:r>
            <w:r w:rsidR="00726E40">
              <w:rPr>
                <w:color w:val="auto"/>
                <w:sz w:val="22"/>
                <w:szCs w:val="22"/>
              </w:rPr>
              <w:t>value</w:t>
            </w:r>
          </w:p>
        </w:tc>
        <w:tc>
          <w:tcPr>
            <w:tcW w:w="4257" w:type="dxa"/>
            <w:shd w:val="clear" w:color="auto" w:fill="auto"/>
          </w:tcPr>
          <w:p w14:paraId="33B2EB21" w14:textId="3963980D" w:rsidR="000026ED" w:rsidRPr="00721761" w:rsidRDefault="00726E40" w:rsidP="00721761">
            <w:pPr>
              <w:pStyle w:val="Heading1"/>
              <w:spacing w:before="0" w:after="0" w:line="240" w:lineRule="auto"/>
              <w:rPr>
                <w:color w:val="auto"/>
                <w:sz w:val="22"/>
                <w:szCs w:val="22"/>
              </w:rPr>
            </w:pPr>
            <w:proofErr w:type="spellStart"/>
            <w:r>
              <w:rPr>
                <w:color w:val="auto"/>
                <w:sz w:val="22"/>
                <w:szCs w:val="22"/>
              </w:rPr>
              <w:t>Pzena</w:t>
            </w:r>
            <w:proofErr w:type="spellEnd"/>
            <w:r>
              <w:rPr>
                <w:color w:val="auto"/>
                <w:sz w:val="22"/>
                <w:szCs w:val="22"/>
              </w:rPr>
              <w:t xml:space="preserve"> Investment Management, Sanders Capital, Artisan Partners</w:t>
            </w:r>
          </w:p>
        </w:tc>
        <w:tc>
          <w:tcPr>
            <w:tcW w:w="1559" w:type="dxa"/>
            <w:shd w:val="clear" w:color="auto" w:fill="auto"/>
          </w:tcPr>
          <w:p w14:paraId="71F325A8" w14:textId="11D6284D" w:rsidR="000026ED" w:rsidRPr="00721761" w:rsidRDefault="000026ED" w:rsidP="00721761">
            <w:pPr>
              <w:pStyle w:val="Heading1"/>
              <w:spacing w:before="0" w:after="0" w:line="240" w:lineRule="auto"/>
              <w:jc w:val="center"/>
              <w:rPr>
                <w:color w:val="auto"/>
                <w:sz w:val="22"/>
                <w:szCs w:val="22"/>
              </w:rPr>
            </w:pPr>
            <w:r w:rsidRPr="00721761">
              <w:rPr>
                <w:color w:val="auto"/>
                <w:sz w:val="22"/>
                <w:szCs w:val="22"/>
              </w:rPr>
              <w:t>1</w:t>
            </w:r>
            <w:r>
              <w:rPr>
                <w:color w:val="auto"/>
                <w:sz w:val="22"/>
                <w:szCs w:val="22"/>
              </w:rPr>
              <w:t>4</w:t>
            </w:r>
          </w:p>
        </w:tc>
      </w:tr>
      <w:tr w:rsidR="000026ED" w:rsidRPr="00721761" w14:paraId="2846C403" w14:textId="77777777" w:rsidTr="000026ED">
        <w:tc>
          <w:tcPr>
            <w:tcW w:w="2259" w:type="dxa"/>
            <w:shd w:val="clear" w:color="auto" w:fill="auto"/>
          </w:tcPr>
          <w:p w14:paraId="628FF39E"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Strategic income</w:t>
            </w:r>
          </w:p>
        </w:tc>
        <w:tc>
          <w:tcPr>
            <w:tcW w:w="4257" w:type="dxa"/>
            <w:shd w:val="clear" w:color="auto" w:fill="auto"/>
          </w:tcPr>
          <w:p w14:paraId="4781EF35"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 xml:space="preserve">Schroders, </w:t>
            </w:r>
            <w:proofErr w:type="spellStart"/>
            <w:r w:rsidRPr="00721761">
              <w:rPr>
                <w:color w:val="auto"/>
                <w:sz w:val="22"/>
                <w:szCs w:val="22"/>
              </w:rPr>
              <w:t>MidOcean</w:t>
            </w:r>
            <w:proofErr w:type="spellEnd"/>
            <w:r w:rsidRPr="00721761">
              <w:rPr>
                <w:color w:val="auto"/>
                <w:sz w:val="22"/>
                <w:szCs w:val="22"/>
              </w:rPr>
              <w:t xml:space="preserve"> Partners, </w:t>
            </w:r>
            <w:proofErr w:type="spellStart"/>
            <w:r w:rsidRPr="00721761">
              <w:rPr>
                <w:color w:val="auto"/>
                <w:sz w:val="22"/>
                <w:szCs w:val="22"/>
              </w:rPr>
              <w:t>TwentyFour</w:t>
            </w:r>
            <w:proofErr w:type="spellEnd"/>
            <w:r w:rsidRPr="00721761">
              <w:rPr>
                <w:color w:val="auto"/>
                <w:sz w:val="22"/>
                <w:szCs w:val="22"/>
              </w:rPr>
              <w:t xml:space="preserve"> Asset Management, BlueBay Asset Management</w:t>
            </w:r>
          </w:p>
        </w:tc>
        <w:tc>
          <w:tcPr>
            <w:tcW w:w="1559" w:type="dxa"/>
            <w:shd w:val="clear" w:color="auto" w:fill="auto"/>
          </w:tcPr>
          <w:p w14:paraId="5EC292ED" w14:textId="29432A13" w:rsidR="000026ED" w:rsidRPr="00721761" w:rsidRDefault="000026ED" w:rsidP="00721761">
            <w:pPr>
              <w:pStyle w:val="Heading1"/>
              <w:spacing w:before="0" w:after="0" w:line="240" w:lineRule="auto"/>
              <w:jc w:val="center"/>
              <w:rPr>
                <w:color w:val="auto"/>
                <w:sz w:val="22"/>
                <w:szCs w:val="22"/>
              </w:rPr>
            </w:pPr>
            <w:r w:rsidRPr="00721761">
              <w:rPr>
                <w:color w:val="auto"/>
                <w:sz w:val="22"/>
                <w:szCs w:val="22"/>
              </w:rPr>
              <w:t>1</w:t>
            </w:r>
            <w:r>
              <w:rPr>
                <w:color w:val="auto"/>
                <w:sz w:val="22"/>
                <w:szCs w:val="22"/>
              </w:rPr>
              <w:t>6</w:t>
            </w:r>
          </w:p>
        </w:tc>
      </w:tr>
      <w:tr w:rsidR="000026ED" w:rsidRPr="00721761" w14:paraId="6293C7C7" w14:textId="77777777" w:rsidTr="000026ED">
        <w:tc>
          <w:tcPr>
            <w:tcW w:w="2259" w:type="dxa"/>
            <w:shd w:val="clear" w:color="auto" w:fill="auto"/>
          </w:tcPr>
          <w:p w14:paraId="3DDA63DB"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Corporate bond</w:t>
            </w:r>
          </w:p>
        </w:tc>
        <w:tc>
          <w:tcPr>
            <w:tcW w:w="4257" w:type="dxa"/>
            <w:shd w:val="clear" w:color="auto" w:fill="auto"/>
          </w:tcPr>
          <w:p w14:paraId="7E35AE4F"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Invesco Perpetual</w:t>
            </w:r>
          </w:p>
        </w:tc>
        <w:tc>
          <w:tcPr>
            <w:tcW w:w="1559" w:type="dxa"/>
            <w:shd w:val="clear" w:color="auto" w:fill="auto"/>
          </w:tcPr>
          <w:p w14:paraId="6C6D0029" w14:textId="77777777" w:rsidR="000026ED" w:rsidRPr="00721761" w:rsidRDefault="000026ED" w:rsidP="00721761">
            <w:pPr>
              <w:pStyle w:val="Heading1"/>
              <w:spacing w:before="0" w:after="0" w:line="240" w:lineRule="auto"/>
              <w:jc w:val="center"/>
              <w:rPr>
                <w:color w:val="auto"/>
                <w:sz w:val="22"/>
                <w:szCs w:val="22"/>
              </w:rPr>
            </w:pPr>
            <w:r w:rsidRPr="00721761">
              <w:rPr>
                <w:color w:val="auto"/>
                <w:sz w:val="22"/>
                <w:szCs w:val="22"/>
              </w:rPr>
              <w:t>10</w:t>
            </w:r>
          </w:p>
        </w:tc>
      </w:tr>
      <w:tr w:rsidR="000026ED" w:rsidRPr="00721761" w14:paraId="436FB37D" w14:textId="77777777" w:rsidTr="000026ED">
        <w:tc>
          <w:tcPr>
            <w:tcW w:w="2259" w:type="dxa"/>
            <w:shd w:val="clear" w:color="auto" w:fill="auto"/>
          </w:tcPr>
          <w:p w14:paraId="5A63FB67"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Gilts</w:t>
            </w:r>
          </w:p>
        </w:tc>
        <w:tc>
          <w:tcPr>
            <w:tcW w:w="4257" w:type="dxa"/>
            <w:shd w:val="clear" w:color="auto" w:fill="auto"/>
          </w:tcPr>
          <w:p w14:paraId="48B07DA7"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Wellington</w:t>
            </w:r>
          </w:p>
        </w:tc>
        <w:tc>
          <w:tcPr>
            <w:tcW w:w="1559" w:type="dxa"/>
            <w:shd w:val="clear" w:color="auto" w:fill="auto"/>
          </w:tcPr>
          <w:p w14:paraId="35D14456" w14:textId="7F36A4CC" w:rsidR="000026ED" w:rsidRPr="00721761" w:rsidRDefault="000026ED" w:rsidP="00721761">
            <w:pPr>
              <w:pStyle w:val="Heading1"/>
              <w:spacing w:before="0" w:after="0" w:line="240" w:lineRule="auto"/>
              <w:jc w:val="center"/>
              <w:rPr>
                <w:color w:val="auto"/>
                <w:sz w:val="22"/>
                <w:szCs w:val="22"/>
              </w:rPr>
            </w:pPr>
            <w:r>
              <w:rPr>
                <w:color w:val="auto"/>
                <w:sz w:val="22"/>
                <w:szCs w:val="22"/>
              </w:rPr>
              <w:t>8</w:t>
            </w:r>
          </w:p>
        </w:tc>
      </w:tr>
      <w:tr w:rsidR="000026ED" w:rsidRPr="00721761" w14:paraId="3190B761" w14:textId="77777777" w:rsidTr="000026ED">
        <w:tc>
          <w:tcPr>
            <w:tcW w:w="2259" w:type="dxa"/>
            <w:shd w:val="clear" w:color="auto" w:fill="auto"/>
          </w:tcPr>
          <w:p w14:paraId="2F459D26"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International corporate bond</w:t>
            </w:r>
          </w:p>
        </w:tc>
        <w:tc>
          <w:tcPr>
            <w:tcW w:w="4257" w:type="dxa"/>
            <w:shd w:val="clear" w:color="auto" w:fill="auto"/>
          </w:tcPr>
          <w:p w14:paraId="1CAA935F" w14:textId="02D3314F" w:rsidR="000026ED" w:rsidRPr="00721761" w:rsidRDefault="00136883" w:rsidP="00721761">
            <w:pPr>
              <w:pStyle w:val="Heading1"/>
              <w:spacing w:before="0" w:after="0" w:line="240" w:lineRule="auto"/>
              <w:rPr>
                <w:color w:val="auto"/>
                <w:sz w:val="22"/>
                <w:szCs w:val="22"/>
              </w:rPr>
            </w:pPr>
            <w:r>
              <w:rPr>
                <w:color w:val="auto"/>
                <w:sz w:val="22"/>
                <w:szCs w:val="22"/>
              </w:rPr>
              <w:t>Oak</w:t>
            </w:r>
            <w:r w:rsidR="00A7627F">
              <w:rPr>
                <w:color w:val="auto"/>
                <w:sz w:val="22"/>
                <w:szCs w:val="22"/>
              </w:rPr>
              <w:t>tree, Capital Four</w:t>
            </w:r>
          </w:p>
        </w:tc>
        <w:tc>
          <w:tcPr>
            <w:tcW w:w="1559" w:type="dxa"/>
            <w:shd w:val="clear" w:color="auto" w:fill="auto"/>
          </w:tcPr>
          <w:p w14:paraId="56E471D0" w14:textId="31BCE774" w:rsidR="000026ED" w:rsidRPr="00721761" w:rsidRDefault="000026ED" w:rsidP="00721761">
            <w:pPr>
              <w:pStyle w:val="Heading1"/>
              <w:spacing w:before="0" w:after="0" w:line="240" w:lineRule="auto"/>
              <w:jc w:val="center"/>
              <w:rPr>
                <w:color w:val="auto"/>
                <w:sz w:val="22"/>
                <w:szCs w:val="22"/>
              </w:rPr>
            </w:pPr>
            <w:r>
              <w:rPr>
                <w:color w:val="auto"/>
                <w:sz w:val="22"/>
                <w:szCs w:val="22"/>
              </w:rPr>
              <w:t>8</w:t>
            </w:r>
          </w:p>
        </w:tc>
      </w:tr>
      <w:tr w:rsidR="000026ED" w:rsidRPr="00721761" w14:paraId="6CEF35A1" w14:textId="77777777" w:rsidTr="000026ED">
        <w:tc>
          <w:tcPr>
            <w:tcW w:w="2259" w:type="dxa"/>
            <w:shd w:val="clear" w:color="auto" w:fill="auto"/>
          </w:tcPr>
          <w:p w14:paraId="17D7BF22"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Investment grade corporate bond</w:t>
            </w:r>
          </w:p>
        </w:tc>
        <w:tc>
          <w:tcPr>
            <w:tcW w:w="4257" w:type="dxa"/>
            <w:shd w:val="clear" w:color="auto" w:fill="auto"/>
          </w:tcPr>
          <w:p w14:paraId="4ACC4C59"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Loomis Sayles</w:t>
            </w:r>
          </w:p>
        </w:tc>
        <w:tc>
          <w:tcPr>
            <w:tcW w:w="1559" w:type="dxa"/>
            <w:shd w:val="clear" w:color="auto" w:fill="auto"/>
          </w:tcPr>
          <w:p w14:paraId="1A99D9BC" w14:textId="1E6F7763" w:rsidR="000026ED" w:rsidRPr="00721761" w:rsidRDefault="000026ED" w:rsidP="00721761">
            <w:pPr>
              <w:pStyle w:val="Heading1"/>
              <w:spacing w:before="0" w:after="0" w:line="240" w:lineRule="auto"/>
              <w:jc w:val="center"/>
              <w:rPr>
                <w:color w:val="auto"/>
                <w:sz w:val="22"/>
                <w:szCs w:val="22"/>
              </w:rPr>
            </w:pPr>
            <w:r>
              <w:rPr>
                <w:color w:val="auto"/>
                <w:sz w:val="22"/>
                <w:szCs w:val="22"/>
              </w:rPr>
              <w:t>8</w:t>
            </w:r>
          </w:p>
        </w:tc>
      </w:tr>
      <w:tr w:rsidR="000026ED" w:rsidRPr="00721761" w14:paraId="35F1144D" w14:textId="77777777" w:rsidTr="000026ED">
        <w:tc>
          <w:tcPr>
            <w:tcW w:w="2259" w:type="dxa"/>
            <w:shd w:val="clear" w:color="auto" w:fill="auto"/>
          </w:tcPr>
          <w:p w14:paraId="2FE94D29"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Property</w:t>
            </w:r>
          </w:p>
        </w:tc>
        <w:tc>
          <w:tcPr>
            <w:tcW w:w="4257" w:type="dxa"/>
            <w:shd w:val="clear" w:color="auto" w:fill="auto"/>
          </w:tcPr>
          <w:p w14:paraId="2441F87C"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Orchard Street</w:t>
            </w:r>
          </w:p>
        </w:tc>
        <w:tc>
          <w:tcPr>
            <w:tcW w:w="1559" w:type="dxa"/>
            <w:shd w:val="clear" w:color="auto" w:fill="auto"/>
          </w:tcPr>
          <w:p w14:paraId="11E677AE" w14:textId="1CC86005" w:rsidR="000026ED" w:rsidRPr="00721761" w:rsidRDefault="000026ED" w:rsidP="00721761">
            <w:pPr>
              <w:pStyle w:val="Heading1"/>
              <w:spacing w:before="0" w:after="0" w:line="240" w:lineRule="auto"/>
              <w:jc w:val="center"/>
              <w:rPr>
                <w:color w:val="auto"/>
                <w:sz w:val="22"/>
                <w:szCs w:val="22"/>
              </w:rPr>
            </w:pPr>
            <w:r>
              <w:rPr>
                <w:color w:val="auto"/>
                <w:sz w:val="22"/>
                <w:szCs w:val="22"/>
              </w:rPr>
              <w:t>8</w:t>
            </w:r>
          </w:p>
        </w:tc>
      </w:tr>
      <w:tr w:rsidR="000026ED" w:rsidRPr="00721761" w14:paraId="3C8B2BA3" w14:textId="77777777" w:rsidTr="000026ED">
        <w:tc>
          <w:tcPr>
            <w:tcW w:w="2259" w:type="dxa"/>
            <w:shd w:val="clear" w:color="auto" w:fill="auto"/>
          </w:tcPr>
          <w:p w14:paraId="7CA49CDE"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Equity income</w:t>
            </w:r>
          </w:p>
        </w:tc>
        <w:tc>
          <w:tcPr>
            <w:tcW w:w="4257" w:type="dxa"/>
            <w:shd w:val="clear" w:color="auto" w:fill="auto"/>
          </w:tcPr>
          <w:p w14:paraId="5222FB1D"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RWC Partners</w:t>
            </w:r>
          </w:p>
        </w:tc>
        <w:tc>
          <w:tcPr>
            <w:tcW w:w="1559" w:type="dxa"/>
            <w:shd w:val="clear" w:color="auto" w:fill="auto"/>
          </w:tcPr>
          <w:p w14:paraId="23087B27" w14:textId="53B93690" w:rsidR="000026ED" w:rsidRPr="00721761" w:rsidRDefault="000026ED" w:rsidP="00721761">
            <w:pPr>
              <w:pStyle w:val="Heading1"/>
              <w:spacing w:before="0" w:after="0" w:line="240" w:lineRule="auto"/>
              <w:jc w:val="center"/>
              <w:rPr>
                <w:color w:val="auto"/>
                <w:sz w:val="22"/>
                <w:szCs w:val="22"/>
              </w:rPr>
            </w:pPr>
            <w:r>
              <w:rPr>
                <w:color w:val="auto"/>
                <w:sz w:val="22"/>
                <w:szCs w:val="22"/>
              </w:rPr>
              <w:t>3</w:t>
            </w:r>
          </w:p>
        </w:tc>
      </w:tr>
      <w:tr w:rsidR="000026ED" w:rsidRPr="00721761" w14:paraId="3CBD27D4" w14:textId="77777777" w:rsidTr="000026ED">
        <w:tc>
          <w:tcPr>
            <w:tcW w:w="2259" w:type="dxa"/>
            <w:shd w:val="clear" w:color="auto" w:fill="auto"/>
          </w:tcPr>
          <w:p w14:paraId="4215E83A"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UK &amp; International income</w:t>
            </w:r>
          </w:p>
        </w:tc>
        <w:tc>
          <w:tcPr>
            <w:tcW w:w="4257" w:type="dxa"/>
            <w:shd w:val="clear" w:color="auto" w:fill="auto"/>
          </w:tcPr>
          <w:p w14:paraId="5D7AD501"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Artemis</w:t>
            </w:r>
          </w:p>
        </w:tc>
        <w:tc>
          <w:tcPr>
            <w:tcW w:w="1559" w:type="dxa"/>
            <w:shd w:val="clear" w:color="auto" w:fill="auto"/>
          </w:tcPr>
          <w:p w14:paraId="4C4A82B2" w14:textId="6B0C62F6" w:rsidR="000026ED" w:rsidRPr="00721761" w:rsidRDefault="000026ED" w:rsidP="00721761">
            <w:pPr>
              <w:pStyle w:val="Heading1"/>
              <w:spacing w:before="0" w:after="0" w:line="240" w:lineRule="auto"/>
              <w:jc w:val="center"/>
              <w:rPr>
                <w:color w:val="auto"/>
                <w:sz w:val="22"/>
                <w:szCs w:val="22"/>
              </w:rPr>
            </w:pPr>
            <w:r>
              <w:rPr>
                <w:color w:val="auto"/>
                <w:sz w:val="22"/>
                <w:szCs w:val="22"/>
              </w:rPr>
              <w:t>3</w:t>
            </w:r>
          </w:p>
        </w:tc>
      </w:tr>
      <w:tr w:rsidR="000026ED" w:rsidRPr="00721761" w14:paraId="0E68234D" w14:textId="77777777" w:rsidTr="000026ED">
        <w:tc>
          <w:tcPr>
            <w:tcW w:w="2259" w:type="dxa"/>
            <w:shd w:val="clear" w:color="auto" w:fill="auto"/>
          </w:tcPr>
          <w:p w14:paraId="3FADCC41"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UK Equity</w:t>
            </w:r>
          </w:p>
        </w:tc>
        <w:tc>
          <w:tcPr>
            <w:tcW w:w="4257" w:type="dxa"/>
            <w:shd w:val="clear" w:color="auto" w:fill="auto"/>
          </w:tcPr>
          <w:p w14:paraId="0981A418" w14:textId="06E556AA" w:rsidR="000026ED" w:rsidRPr="00721761" w:rsidRDefault="000026ED" w:rsidP="00721761">
            <w:pPr>
              <w:pStyle w:val="Heading1"/>
              <w:spacing w:before="0" w:after="0" w:line="240" w:lineRule="auto"/>
              <w:rPr>
                <w:color w:val="auto"/>
                <w:sz w:val="22"/>
                <w:szCs w:val="22"/>
              </w:rPr>
            </w:pPr>
            <w:r>
              <w:rPr>
                <w:color w:val="auto"/>
                <w:sz w:val="22"/>
                <w:szCs w:val="22"/>
              </w:rPr>
              <w:t>RWC, Columbia Threadneedle</w:t>
            </w:r>
          </w:p>
        </w:tc>
        <w:tc>
          <w:tcPr>
            <w:tcW w:w="1559" w:type="dxa"/>
            <w:shd w:val="clear" w:color="auto" w:fill="auto"/>
          </w:tcPr>
          <w:p w14:paraId="4D80F553" w14:textId="7E8D0E07" w:rsidR="000026ED" w:rsidRPr="00721761" w:rsidRDefault="000026ED" w:rsidP="00721761">
            <w:pPr>
              <w:pStyle w:val="Heading1"/>
              <w:spacing w:before="0" w:after="0" w:line="240" w:lineRule="auto"/>
              <w:jc w:val="center"/>
              <w:rPr>
                <w:color w:val="auto"/>
                <w:sz w:val="22"/>
                <w:szCs w:val="22"/>
              </w:rPr>
            </w:pPr>
            <w:r>
              <w:rPr>
                <w:color w:val="auto"/>
                <w:sz w:val="22"/>
                <w:szCs w:val="22"/>
              </w:rPr>
              <w:t>3</w:t>
            </w:r>
          </w:p>
        </w:tc>
      </w:tr>
      <w:tr w:rsidR="000026ED" w:rsidRPr="00721761" w14:paraId="44F67BD3" w14:textId="77777777" w:rsidTr="000026ED">
        <w:tc>
          <w:tcPr>
            <w:tcW w:w="2259" w:type="dxa"/>
            <w:shd w:val="clear" w:color="auto" w:fill="auto"/>
          </w:tcPr>
          <w:p w14:paraId="4C1F05C2" w14:textId="77777777" w:rsidR="000026ED" w:rsidRPr="00721761" w:rsidRDefault="000026ED" w:rsidP="00721761">
            <w:pPr>
              <w:pStyle w:val="Heading1"/>
              <w:spacing w:before="0" w:after="0" w:line="240" w:lineRule="auto"/>
              <w:rPr>
                <w:color w:val="auto"/>
                <w:sz w:val="22"/>
                <w:szCs w:val="22"/>
              </w:rPr>
            </w:pPr>
            <w:r w:rsidRPr="00721761">
              <w:rPr>
                <w:color w:val="auto"/>
                <w:sz w:val="22"/>
                <w:szCs w:val="22"/>
              </w:rPr>
              <w:t>UK income</w:t>
            </w:r>
          </w:p>
        </w:tc>
        <w:tc>
          <w:tcPr>
            <w:tcW w:w="4257" w:type="dxa"/>
            <w:shd w:val="clear" w:color="auto" w:fill="auto"/>
          </w:tcPr>
          <w:p w14:paraId="5D2CB393" w14:textId="77777777" w:rsidR="000026ED" w:rsidRPr="00721761" w:rsidRDefault="000026ED" w:rsidP="00721761">
            <w:pPr>
              <w:pStyle w:val="Heading1"/>
              <w:spacing w:before="0" w:after="0" w:line="240" w:lineRule="auto"/>
              <w:rPr>
                <w:color w:val="auto"/>
                <w:sz w:val="22"/>
                <w:szCs w:val="22"/>
              </w:rPr>
            </w:pPr>
            <w:proofErr w:type="spellStart"/>
            <w:r w:rsidRPr="00721761">
              <w:rPr>
                <w:color w:val="auto"/>
                <w:sz w:val="22"/>
                <w:szCs w:val="22"/>
              </w:rPr>
              <w:t>Majedie</w:t>
            </w:r>
            <w:proofErr w:type="spellEnd"/>
          </w:p>
        </w:tc>
        <w:tc>
          <w:tcPr>
            <w:tcW w:w="1559" w:type="dxa"/>
            <w:shd w:val="clear" w:color="auto" w:fill="auto"/>
          </w:tcPr>
          <w:p w14:paraId="16F1EEEA" w14:textId="62A1EF6F" w:rsidR="000026ED" w:rsidRPr="00721761" w:rsidRDefault="000026ED" w:rsidP="00721761">
            <w:pPr>
              <w:pStyle w:val="Heading1"/>
              <w:spacing w:before="0" w:after="0" w:line="240" w:lineRule="auto"/>
              <w:jc w:val="center"/>
              <w:rPr>
                <w:color w:val="auto"/>
                <w:sz w:val="22"/>
                <w:szCs w:val="22"/>
              </w:rPr>
            </w:pPr>
            <w:r>
              <w:rPr>
                <w:color w:val="auto"/>
                <w:sz w:val="22"/>
                <w:szCs w:val="22"/>
              </w:rPr>
              <w:t>3</w:t>
            </w:r>
          </w:p>
        </w:tc>
      </w:tr>
      <w:tr w:rsidR="000026ED" w:rsidRPr="00721761" w14:paraId="07E95A86" w14:textId="77777777" w:rsidTr="000026ED">
        <w:tc>
          <w:tcPr>
            <w:tcW w:w="2259" w:type="dxa"/>
            <w:shd w:val="clear" w:color="auto" w:fill="auto"/>
          </w:tcPr>
          <w:p w14:paraId="3EF916DC" w14:textId="77777777" w:rsidR="000026ED" w:rsidRPr="00721761" w:rsidRDefault="000026ED" w:rsidP="00721761">
            <w:pPr>
              <w:pStyle w:val="Heading1"/>
              <w:spacing w:before="0" w:after="0" w:line="240" w:lineRule="auto"/>
              <w:rPr>
                <w:color w:val="auto"/>
                <w:sz w:val="22"/>
                <w:szCs w:val="22"/>
              </w:rPr>
            </w:pPr>
          </w:p>
        </w:tc>
        <w:tc>
          <w:tcPr>
            <w:tcW w:w="4257" w:type="dxa"/>
            <w:shd w:val="clear" w:color="auto" w:fill="auto"/>
          </w:tcPr>
          <w:p w14:paraId="74EEBB27" w14:textId="77777777" w:rsidR="000026ED" w:rsidRPr="00721761" w:rsidRDefault="000026ED" w:rsidP="00721761">
            <w:pPr>
              <w:pStyle w:val="Heading1"/>
              <w:spacing w:before="0" w:after="0" w:line="240" w:lineRule="auto"/>
              <w:rPr>
                <w:color w:val="auto"/>
                <w:sz w:val="22"/>
                <w:szCs w:val="22"/>
              </w:rPr>
            </w:pPr>
          </w:p>
        </w:tc>
        <w:tc>
          <w:tcPr>
            <w:tcW w:w="1559" w:type="dxa"/>
            <w:shd w:val="clear" w:color="auto" w:fill="auto"/>
          </w:tcPr>
          <w:p w14:paraId="058EC115" w14:textId="77777777" w:rsidR="000026ED" w:rsidRPr="00721761" w:rsidRDefault="000026ED" w:rsidP="00721761">
            <w:pPr>
              <w:pStyle w:val="Heading1"/>
              <w:spacing w:before="0" w:after="0" w:line="240" w:lineRule="auto"/>
              <w:jc w:val="center"/>
              <w:rPr>
                <w:color w:val="auto"/>
                <w:sz w:val="22"/>
                <w:szCs w:val="22"/>
              </w:rPr>
            </w:pPr>
          </w:p>
        </w:tc>
      </w:tr>
      <w:tr w:rsidR="000026ED" w:rsidRPr="00721761" w14:paraId="1E9FBBB0" w14:textId="77777777" w:rsidTr="000026ED">
        <w:tc>
          <w:tcPr>
            <w:tcW w:w="2259" w:type="dxa"/>
            <w:shd w:val="clear" w:color="auto" w:fill="auto"/>
          </w:tcPr>
          <w:p w14:paraId="1E427151" w14:textId="77777777" w:rsidR="000026ED" w:rsidRPr="00721761" w:rsidRDefault="000026ED" w:rsidP="00721761">
            <w:pPr>
              <w:pStyle w:val="Heading1"/>
              <w:spacing w:before="0" w:after="0" w:line="240" w:lineRule="auto"/>
              <w:rPr>
                <w:color w:val="auto"/>
                <w:sz w:val="22"/>
                <w:szCs w:val="22"/>
              </w:rPr>
            </w:pPr>
          </w:p>
        </w:tc>
        <w:tc>
          <w:tcPr>
            <w:tcW w:w="4257" w:type="dxa"/>
            <w:shd w:val="clear" w:color="auto" w:fill="auto"/>
          </w:tcPr>
          <w:p w14:paraId="7601F176" w14:textId="77777777" w:rsidR="000026ED" w:rsidRPr="00721761" w:rsidRDefault="000026ED" w:rsidP="00721761">
            <w:pPr>
              <w:pStyle w:val="Heading1"/>
              <w:spacing w:before="0" w:after="0" w:line="240" w:lineRule="auto"/>
              <w:rPr>
                <w:color w:val="auto"/>
                <w:sz w:val="22"/>
                <w:szCs w:val="22"/>
              </w:rPr>
            </w:pPr>
          </w:p>
        </w:tc>
        <w:tc>
          <w:tcPr>
            <w:tcW w:w="1559" w:type="dxa"/>
            <w:shd w:val="clear" w:color="auto" w:fill="auto"/>
          </w:tcPr>
          <w:p w14:paraId="43992F2F" w14:textId="77777777" w:rsidR="000026ED" w:rsidRPr="00721761" w:rsidRDefault="000026ED" w:rsidP="00721761">
            <w:pPr>
              <w:pStyle w:val="Heading1"/>
              <w:spacing w:before="0" w:after="0" w:line="240" w:lineRule="auto"/>
              <w:jc w:val="center"/>
              <w:rPr>
                <w:color w:val="auto"/>
                <w:sz w:val="22"/>
                <w:szCs w:val="22"/>
              </w:rPr>
            </w:pPr>
            <w:r w:rsidRPr="00721761">
              <w:rPr>
                <w:color w:val="auto"/>
                <w:sz w:val="22"/>
                <w:szCs w:val="22"/>
              </w:rPr>
              <w:t>100</w:t>
            </w:r>
          </w:p>
        </w:tc>
      </w:tr>
    </w:tbl>
    <w:p w14:paraId="70EFFEF7" w14:textId="77777777" w:rsidR="00F751E4" w:rsidRDefault="00F751E4" w:rsidP="0086392B">
      <w:pPr>
        <w:pStyle w:val="Heading1"/>
        <w:spacing w:before="0" w:after="0" w:line="240" w:lineRule="auto"/>
        <w:rPr>
          <w:sz w:val="22"/>
          <w:szCs w:val="22"/>
        </w:rPr>
      </w:pPr>
    </w:p>
    <w:p w14:paraId="32484A57" w14:textId="77777777" w:rsidR="000026ED" w:rsidRDefault="000026ED" w:rsidP="004717E5">
      <w:pPr>
        <w:spacing w:line="240" w:lineRule="auto"/>
        <w:rPr>
          <w:rFonts w:cs="Arial"/>
          <w:sz w:val="22"/>
          <w:szCs w:val="22"/>
        </w:rPr>
      </w:pPr>
    </w:p>
    <w:p w14:paraId="42153421" w14:textId="59411ED2" w:rsidR="004717E5" w:rsidRDefault="004717E5" w:rsidP="004717E5">
      <w:pPr>
        <w:spacing w:line="240" w:lineRule="auto"/>
        <w:rPr>
          <w:rFonts w:cs="Arial"/>
          <w:sz w:val="22"/>
          <w:szCs w:val="22"/>
        </w:rPr>
      </w:pPr>
      <w:r>
        <w:rPr>
          <w:rFonts w:cs="Arial"/>
          <w:sz w:val="22"/>
          <w:szCs w:val="22"/>
        </w:rPr>
        <w:t>The Trustees have taken advice from their Advisers to ensure that both the asset allocation strategy and the investment managers are suitable for the Scheme, given its objectives and liability profile.</w:t>
      </w:r>
    </w:p>
    <w:p w14:paraId="427DAD21" w14:textId="77777777" w:rsidR="002C66C8" w:rsidRDefault="002C66C8" w:rsidP="004717E5">
      <w:pPr>
        <w:spacing w:line="240" w:lineRule="auto"/>
        <w:rPr>
          <w:rFonts w:cs="Arial"/>
          <w:sz w:val="22"/>
          <w:szCs w:val="22"/>
        </w:rPr>
      </w:pPr>
    </w:p>
    <w:p w14:paraId="6A67AE57" w14:textId="6858DDA0" w:rsidR="002C66C8" w:rsidRDefault="002C66C8" w:rsidP="004717E5">
      <w:pPr>
        <w:spacing w:line="240" w:lineRule="auto"/>
        <w:rPr>
          <w:rFonts w:cs="Arial"/>
          <w:sz w:val="22"/>
          <w:szCs w:val="22"/>
        </w:rPr>
      </w:pPr>
      <w:r>
        <w:rPr>
          <w:sz w:val="22"/>
          <w:szCs w:val="22"/>
        </w:rPr>
        <w:t xml:space="preserve">From time to time the </w:t>
      </w:r>
      <w:r w:rsidR="0039310B">
        <w:rPr>
          <w:sz w:val="22"/>
          <w:szCs w:val="22"/>
        </w:rPr>
        <w:t>Investment A</w:t>
      </w:r>
      <w:r>
        <w:rPr>
          <w:sz w:val="22"/>
          <w:szCs w:val="22"/>
        </w:rPr>
        <w:t>dvisers may recommend changes to the composition of the Growth Fund</w:t>
      </w:r>
      <w:r w:rsidR="0039310B">
        <w:rPr>
          <w:sz w:val="22"/>
          <w:szCs w:val="22"/>
        </w:rPr>
        <w:t xml:space="preserve"> or the balance of funds within the Income Fund</w:t>
      </w:r>
      <w:r>
        <w:rPr>
          <w:sz w:val="22"/>
          <w:szCs w:val="22"/>
        </w:rPr>
        <w:t xml:space="preserve"> which will be considered by the Trustees before being implemented. The Trustees </w:t>
      </w:r>
      <w:r w:rsidR="00CB6243">
        <w:rPr>
          <w:sz w:val="22"/>
          <w:szCs w:val="22"/>
        </w:rPr>
        <w:t>have delegated to</w:t>
      </w:r>
      <w:r>
        <w:rPr>
          <w:sz w:val="22"/>
          <w:szCs w:val="22"/>
        </w:rPr>
        <w:t xml:space="preserve"> St James’s Place Wealth Management </w:t>
      </w:r>
      <w:r w:rsidR="00CB6243">
        <w:rPr>
          <w:sz w:val="22"/>
          <w:szCs w:val="22"/>
        </w:rPr>
        <w:t xml:space="preserve">decisions regarding which managers to appoint within each fund and the term of each manager’s appointment. They </w:t>
      </w:r>
      <w:r w:rsidR="0039310B">
        <w:rPr>
          <w:sz w:val="22"/>
          <w:szCs w:val="22"/>
        </w:rPr>
        <w:t xml:space="preserve">implement changes to the </w:t>
      </w:r>
      <w:r w:rsidR="00FD5119">
        <w:rPr>
          <w:sz w:val="22"/>
          <w:szCs w:val="22"/>
        </w:rPr>
        <w:t>individual fund managers</w:t>
      </w:r>
      <w:r w:rsidR="00684A9C">
        <w:rPr>
          <w:sz w:val="22"/>
          <w:szCs w:val="22"/>
        </w:rPr>
        <w:t xml:space="preserve"> when considered necessary for performance or other reasons</w:t>
      </w:r>
      <w:r w:rsidR="00FD5119">
        <w:rPr>
          <w:sz w:val="22"/>
          <w:szCs w:val="22"/>
        </w:rPr>
        <w:t xml:space="preserve">, and the </w:t>
      </w:r>
      <w:r w:rsidR="00FD5119">
        <w:rPr>
          <w:sz w:val="22"/>
          <w:szCs w:val="22"/>
        </w:rPr>
        <w:lastRenderedPageBreak/>
        <w:t xml:space="preserve">Investment Adviser keeps the Trustees informed of such changes </w:t>
      </w:r>
      <w:r w:rsidR="00684A9C">
        <w:rPr>
          <w:sz w:val="22"/>
          <w:szCs w:val="22"/>
        </w:rPr>
        <w:t xml:space="preserve">and the reasons for them </w:t>
      </w:r>
      <w:r w:rsidR="00FD5119">
        <w:rPr>
          <w:sz w:val="22"/>
          <w:szCs w:val="22"/>
        </w:rPr>
        <w:t>at their semi-annual review meetings.</w:t>
      </w:r>
    </w:p>
    <w:p w14:paraId="26983A44" w14:textId="77777777" w:rsidR="002C66C8" w:rsidRDefault="002C66C8" w:rsidP="004717E5">
      <w:pPr>
        <w:spacing w:line="240" w:lineRule="auto"/>
        <w:rPr>
          <w:rFonts w:cs="Arial"/>
          <w:sz w:val="22"/>
          <w:szCs w:val="22"/>
        </w:rPr>
      </w:pPr>
    </w:p>
    <w:p w14:paraId="39000371" w14:textId="77777777" w:rsidR="002C66C8" w:rsidRDefault="002C66C8" w:rsidP="007B23CF">
      <w:pPr>
        <w:pStyle w:val="Heading1"/>
        <w:spacing w:before="0" w:after="0" w:line="240" w:lineRule="auto"/>
        <w:rPr>
          <w:b/>
          <w:color w:val="auto"/>
          <w:sz w:val="22"/>
          <w:szCs w:val="22"/>
        </w:rPr>
      </w:pPr>
    </w:p>
    <w:p w14:paraId="5090DD7E" w14:textId="3A2A3DD9" w:rsidR="007B23CF" w:rsidRDefault="007B23CF" w:rsidP="007B23CF">
      <w:pPr>
        <w:pStyle w:val="Heading1"/>
        <w:spacing w:before="0" w:after="0" w:line="240" w:lineRule="auto"/>
        <w:rPr>
          <w:b/>
          <w:color w:val="auto"/>
          <w:sz w:val="22"/>
          <w:szCs w:val="22"/>
        </w:rPr>
      </w:pPr>
      <w:r>
        <w:rPr>
          <w:b/>
          <w:color w:val="auto"/>
          <w:sz w:val="22"/>
          <w:szCs w:val="22"/>
        </w:rPr>
        <w:t xml:space="preserve">Monitoring of Investment </w:t>
      </w:r>
      <w:r w:rsidR="00194DB6">
        <w:rPr>
          <w:b/>
          <w:color w:val="auto"/>
          <w:sz w:val="22"/>
          <w:szCs w:val="22"/>
        </w:rPr>
        <w:t xml:space="preserve">Managers and their </w:t>
      </w:r>
      <w:r>
        <w:rPr>
          <w:b/>
          <w:color w:val="auto"/>
          <w:sz w:val="22"/>
          <w:szCs w:val="22"/>
        </w:rPr>
        <w:t>Performance</w:t>
      </w:r>
    </w:p>
    <w:p w14:paraId="608E03A3" w14:textId="77777777" w:rsidR="007B23CF" w:rsidRDefault="007B23CF" w:rsidP="007B23CF">
      <w:pPr>
        <w:pStyle w:val="Heading1"/>
        <w:spacing w:before="0" w:after="0" w:line="240" w:lineRule="auto"/>
        <w:rPr>
          <w:b/>
          <w:color w:val="auto"/>
          <w:sz w:val="22"/>
          <w:szCs w:val="22"/>
        </w:rPr>
      </w:pPr>
    </w:p>
    <w:p w14:paraId="432E6E63" w14:textId="0BFDACEC" w:rsidR="007B23CF" w:rsidRDefault="007B23CF" w:rsidP="007B23CF">
      <w:pPr>
        <w:pStyle w:val="Heading1"/>
        <w:spacing w:before="0" w:after="0" w:line="240" w:lineRule="auto"/>
        <w:rPr>
          <w:color w:val="auto"/>
          <w:sz w:val="22"/>
          <w:szCs w:val="22"/>
        </w:rPr>
      </w:pPr>
      <w:r>
        <w:rPr>
          <w:color w:val="auto"/>
          <w:sz w:val="22"/>
          <w:szCs w:val="22"/>
        </w:rPr>
        <w:t xml:space="preserve">Day-to-day monitoring of the investment managers </w:t>
      </w:r>
      <w:r w:rsidR="00194DB6">
        <w:rPr>
          <w:color w:val="auto"/>
          <w:sz w:val="22"/>
          <w:szCs w:val="22"/>
        </w:rPr>
        <w:t xml:space="preserve">and their performance of </w:t>
      </w:r>
      <w:r>
        <w:rPr>
          <w:color w:val="auto"/>
          <w:sz w:val="22"/>
          <w:szCs w:val="22"/>
        </w:rPr>
        <w:t>is undertaken by St James’s Place Wealth Management. Specific individual benchmarks have been set as part of this process.</w:t>
      </w:r>
    </w:p>
    <w:p w14:paraId="674DB490" w14:textId="77777777" w:rsidR="007B23CF" w:rsidRDefault="007B23CF" w:rsidP="007B23CF"/>
    <w:p w14:paraId="274CBEDB" w14:textId="7E6AA6B4" w:rsidR="00194DB6" w:rsidRPr="00194DB6" w:rsidRDefault="00995699" w:rsidP="00194DB6">
      <w:pPr>
        <w:pStyle w:val="Heading1"/>
        <w:spacing w:before="0" w:after="0" w:line="240" w:lineRule="auto"/>
        <w:rPr>
          <w:color w:val="auto"/>
          <w:sz w:val="22"/>
          <w:szCs w:val="22"/>
        </w:rPr>
      </w:pPr>
      <w:r>
        <w:rPr>
          <w:color w:val="auto"/>
          <w:sz w:val="22"/>
          <w:szCs w:val="22"/>
        </w:rPr>
        <w:t>Semi-annually,</w:t>
      </w:r>
      <w:r w:rsidR="00737CC8">
        <w:rPr>
          <w:color w:val="auto"/>
          <w:sz w:val="22"/>
          <w:szCs w:val="22"/>
        </w:rPr>
        <w:t xml:space="preserve"> t</w:t>
      </w:r>
      <w:r w:rsidR="004A5B29">
        <w:rPr>
          <w:color w:val="auto"/>
          <w:sz w:val="22"/>
          <w:szCs w:val="22"/>
        </w:rPr>
        <w:t xml:space="preserve">he </w:t>
      </w:r>
      <w:r w:rsidR="00737CC8">
        <w:rPr>
          <w:color w:val="auto"/>
          <w:sz w:val="22"/>
          <w:szCs w:val="22"/>
        </w:rPr>
        <w:t xml:space="preserve">investment advisers will provide to the </w:t>
      </w:r>
      <w:r w:rsidR="004A5B29">
        <w:rPr>
          <w:color w:val="auto"/>
          <w:sz w:val="22"/>
          <w:szCs w:val="22"/>
        </w:rPr>
        <w:t>Trustees reports on the performance of the Growth Fund and the Income Fund which will allow the</w:t>
      </w:r>
      <w:r w:rsidR="00737CC8">
        <w:rPr>
          <w:color w:val="auto"/>
          <w:sz w:val="22"/>
          <w:szCs w:val="22"/>
        </w:rPr>
        <w:t xml:space="preserve"> Trustees</w:t>
      </w:r>
      <w:r w:rsidR="004A5B29">
        <w:rPr>
          <w:color w:val="auto"/>
          <w:sz w:val="22"/>
          <w:szCs w:val="22"/>
        </w:rPr>
        <w:t xml:space="preserve"> to monitor the </w:t>
      </w:r>
      <w:r w:rsidR="00737CC8">
        <w:rPr>
          <w:color w:val="auto"/>
          <w:sz w:val="22"/>
          <w:szCs w:val="22"/>
        </w:rPr>
        <w:t>performance of the total Fund against their overall investment objective set out above.</w:t>
      </w:r>
      <w:r>
        <w:rPr>
          <w:color w:val="auto"/>
          <w:sz w:val="22"/>
          <w:szCs w:val="22"/>
        </w:rPr>
        <w:t xml:space="preserve"> </w:t>
      </w:r>
      <w:r w:rsidRPr="00995699">
        <w:rPr>
          <w:color w:val="auto"/>
          <w:sz w:val="22"/>
          <w:szCs w:val="22"/>
        </w:rPr>
        <w:t xml:space="preserve">They monitor the actual return achieved by the Scheme against a benchmark of the returns earned by comparable funds prepared by Asset Risk Consultants PCI </w:t>
      </w:r>
      <w:r>
        <w:rPr>
          <w:color w:val="auto"/>
          <w:sz w:val="22"/>
          <w:szCs w:val="22"/>
        </w:rPr>
        <w:t xml:space="preserve">(“ARC”). The performance of the Growth Fund </w:t>
      </w:r>
      <w:r w:rsidR="00B0197B">
        <w:rPr>
          <w:color w:val="auto"/>
          <w:sz w:val="22"/>
          <w:szCs w:val="22"/>
        </w:rPr>
        <w:t>is</w:t>
      </w:r>
      <w:r>
        <w:rPr>
          <w:color w:val="auto"/>
          <w:sz w:val="22"/>
          <w:szCs w:val="22"/>
        </w:rPr>
        <w:t xml:space="preserve"> benchmarked against the ARC sterling equity fund while the Income Fund </w:t>
      </w:r>
      <w:r w:rsidR="00B0197B">
        <w:rPr>
          <w:color w:val="auto"/>
          <w:sz w:val="22"/>
          <w:szCs w:val="22"/>
        </w:rPr>
        <w:t>is</w:t>
      </w:r>
      <w:r>
        <w:rPr>
          <w:color w:val="auto"/>
          <w:sz w:val="22"/>
          <w:szCs w:val="22"/>
        </w:rPr>
        <w:t xml:space="preserve"> benchmarked against the ARC sterling cautious fund.</w:t>
      </w:r>
    </w:p>
    <w:p w14:paraId="5C164E13" w14:textId="77777777" w:rsidR="00C07431" w:rsidRDefault="00C07431" w:rsidP="0086392B">
      <w:pPr>
        <w:pStyle w:val="Heading1"/>
        <w:spacing w:before="0" w:after="0" w:line="240" w:lineRule="auto"/>
        <w:rPr>
          <w:color w:val="auto"/>
          <w:sz w:val="22"/>
          <w:szCs w:val="22"/>
        </w:rPr>
      </w:pPr>
    </w:p>
    <w:p w14:paraId="5EBE2091" w14:textId="77777777" w:rsidR="00C07431" w:rsidRDefault="00C07431" w:rsidP="002C66C8">
      <w:pPr>
        <w:pStyle w:val="Heading3"/>
      </w:pPr>
    </w:p>
    <w:p w14:paraId="3EF44992" w14:textId="4201B4AA" w:rsidR="002C66C8" w:rsidRDefault="002C66C8" w:rsidP="002C66C8">
      <w:pPr>
        <w:spacing w:line="240" w:lineRule="auto"/>
        <w:rPr>
          <w:rFonts w:cs="Arial"/>
          <w:sz w:val="22"/>
          <w:szCs w:val="22"/>
        </w:rPr>
      </w:pPr>
      <w:r>
        <w:rPr>
          <w:rFonts w:cs="Arial"/>
          <w:b/>
          <w:sz w:val="22"/>
          <w:szCs w:val="22"/>
        </w:rPr>
        <w:t xml:space="preserve">Investment Management and </w:t>
      </w:r>
      <w:r w:rsidR="00D56B08">
        <w:rPr>
          <w:rFonts w:cs="Arial"/>
          <w:b/>
          <w:sz w:val="22"/>
          <w:szCs w:val="22"/>
        </w:rPr>
        <w:t xml:space="preserve">Incentive Costs, </w:t>
      </w:r>
      <w:r>
        <w:rPr>
          <w:rFonts w:cs="Arial"/>
          <w:b/>
          <w:sz w:val="22"/>
          <w:szCs w:val="22"/>
        </w:rPr>
        <w:t xml:space="preserve">Advisory </w:t>
      </w:r>
      <w:r w:rsidRPr="003B3605">
        <w:rPr>
          <w:rFonts w:cs="Arial"/>
          <w:b/>
          <w:sz w:val="22"/>
          <w:szCs w:val="22"/>
        </w:rPr>
        <w:t>Fees</w:t>
      </w:r>
      <w:r w:rsidR="000E485A">
        <w:rPr>
          <w:rFonts w:cs="Arial"/>
          <w:b/>
          <w:sz w:val="22"/>
          <w:szCs w:val="22"/>
        </w:rPr>
        <w:t xml:space="preserve"> and Transaction Costs</w:t>
      </w:r>
      <w:r w:rsidR="00D56B08">
        <w:rPr>
          <w:rFonts w:cs="Arial"/>
          <w:b/>
          <w:sz w:val="22"/>
          <w:szCs w:val="22"/>
        </w:rPr>
        <w:t xml:space="preserve"> </w:t>
      </w:r>
    </w:p>
    <w:p w14:paraId="3CB73949" w14:textId="77777777" w:rsidR="002C66C8" w:rsidRDefault="002C66C8" w:rsidP="002C66C8">
      <w:pPr>
        <w:spacing w:line="240" w:lineRule="auto"/>
        <w:rPr>
          <w:rFonts w:cs="Arial"/>
          <w:sz w:val="22"/>
          <w:szCs w:val="22"/>
        </w:rPr>
      </w:pPr>
    </w:p>
    <w:p w14:paraId="354DFB8B" w14:textId="77777777" w:rsidR="00B32244" w:rsidRDefault="00D56B08" w:rsidP="002C66C8">
      <w:pPr>
        <w:spacing w:line="240" w:lineRule="auto"/>
        <w:rPr>
          <w:rFonts w:cs="Arial"/>
          <w:sz w:val="22"/>
          <w:szCs w:val="22"/>
        </w:rPr>
      </w:pPr>
      <w:r w:rsidRPr="00D56B08">
        <w:rPr>
          <w:rFonts w:cs="Arial"/>
          <w:sz w:val="22"/>
          <w:szCs w:val="22"/>
        </w:rPr>
        <w:t xml:space="preserve">The Scheme is charged an annual management fee by St James’s Place Wealth Management out of which all investment management fees due to St James Place and the managers of the pooled funds in which the Scheme is invested are settled, as well as the fees due to the Duley Practice for advisory services. </w:t>
      </w:r>
    </w:p>
    <w:p w14:paraId="73FA66BC" w14:textId="77777777" w:rsidR="00B32244" w:rsidRDefault="00B32244" w:rsidP="002C66C8">
      <w:pPr>
        <w:spacing w:line="240" w:lineRule="auto"/>
        <w:rPr>
          <w:rFonts w:cs="Arial"/>
          <w:sz w:val="22"/>
          <w:szCs w:val="22"/>
        </w:rPr>
      </w:pPr>
    </w:p>
    <w:p w14:paraId="64FC6367" w14:textId="4D707723" w:rsidR="00B32244" w:rsidRDefault="00D56B08" w:rsidP="002C66C8">
      <w:pPr>
        <w:spacing w:line="240" w:lineRule="auto"/>
        <w:rPr>
          <w:rFonts w:cs="Arial"/>
          <w:sz w:val="22"/>
          <w:szCs w:val="22"/>
        </w:rPr>
      </w:pPr>
      <w:r w:rsidRPr="00D56B08">
        <w:rPr>
          <w:rFonts w:cs="Arial"/>
          <w:sz w:val="22"/>
          <w:szCs w:val="22"/>
        </w:rPr>
        <w:t>As investments are made</w:t>
      </w:r>
      <w:r w:rsidR="00B32244">
        <w:rPr>
          <w:rFonts w:cs="Arial"/>
          <w:sz w:val="22"/>
          <w:szCs w:val="22"/>
        </w:rPr>
        <w:t xml:space="preserve"> through St James’s Place Wealth Management</w:t>
      </w:r>
      <w:r w:rsidRPr="00D56B08">
        <w:rPr>
          <w:rFonts w:cs="Arial"/>
          <w:sz w:val="22"/>
          <w:szCs w:val="22"/>
        </w:rPr>
        <w:t xml:space="preserve"> in</w:t>
      </w:r>
      <w:r w:rsidR="00B32244">
        <w:rPr>
          <w:rFonts w:cs="Arial"/>
          <w:sz w:val="22"/>
          <w:szCs w:val="22"/>
        </w:rPr>
        <w:t>to</w:t>
      </w:r>
      <w:r w:rsidRPr="00D56B08">
        <w:rPr>
          <w:rFonts w:cs="Arial"/>
          <w:sz w:val="22"/>
          <w:szCs w:val="22"/>
        </w:rPr>
        <w:t xml:space="preserve"> pooled funds with defined charges and expenses, it is not possible directly to incentivise fund managers to align investments with the Trustees’ policies, improve engagement or monitor transaction costs.  Ultimately, the Trustees only remedy is to move to an alternative pooled fund</w:t>
      </w:r>
      <w:r w:rsidR="00B32244">
        <w:rPr>
          <w:rFonts w:cs="Arial"/>
          <w:sz w:val="22"/>
          <w:szCs w:val="22"/>
        </w:rPr>
        <w:t>.</w:t>
      </w:r>
    </w:p>
    <w:p w14:paraId="5C7E59D4" w14:textId="77777777" w:rsidR="00B32244" w:rsidRDefault="00B32244" w:rsidP="002C66C8">
      <w:pPr>
        <w:spacing w:line="240" w:lineRule="auto"/>
        <w:rPr>
          <w:rFonts w:cs="Arial"/>
          <w:sz w:val="22"/>
          <w:szCs w:val="22"/>
        </w:rPr>
      </w:pPr>
    </w:p>
    <w:p w14:paraId="5C1D77CA" w14:textId="00D73E51" w:rsidR="002C66C8" w:rsidRPr="003B3605" w:rsidRDefault="000E485A" w:rsidP="002C66C8">
      <w:pPr>
        <w:spacing w:line="240" w:lineRule="auto"/>
        <w:rPr>
          <w:rFonts w:cs="Arial"/>
          <w:sz w:val="22"/>
          <w:szCs w:val="22"/>
        </w:rPr>
      </w:pPr>
      <w:r>
        <w:rPr>
          <w:rFonts w:cs="Arial"/>
          <w:sz w:val="22"/>
          <w:szCs w:val="22"/>
        </w:rPr>
        <w:t>Transaction costs are expected to average 0.2% pa</w:t>
      </w:r>
      <w:r w:rsidR="00D56B08">
        <w:rPr>
          <w:rFonts w:cs="Arial"/>
          <w:sz w:val="22"/>
          <w:szCs w:val="22"/>
        </w:rPr>
        <w:t xml:space="preserve"> and actual costs are reported annually to the Trustees by the Investment Ad</w:t>
      </w:r>
      <w:r w:rsidR="00B32244">
        <w:rPr>
          <w:rFonts w:cs="Arial"/>
          <w:sz w:val="22"/>
          <w:szCs w:val="22"/>
        </w:rPr>
        <w:t>viser</w:t>
      </w:r>
      <w:r>
        <w:rPr>
          <w:rFonts w:cs="Arial"/>
          <w:sz w:val="22"/>
          <w:szCs w:val="22"/>
        </w:rPr>
        <w:t>.</w:t>
      </w:r>
    </w:p>
    <w:p w14:paraId="71896B27" w14:textId="77777777" w:rsidR="002C66C8" w:rsidRDefault="002C66C8" w:rsidP="002C66C8">
      <w:pPr>
        <w:spacing w:line="240" w:lineRule="auto"/>
        <w:rPr>
          <w:rFonts w:cs="Arial"/>
          <w:sz w:val="22"/>
          <w:szCs w:val="22"/>
        </w:rPr>
      </w:pPr>
    </w:p>
    <w:p w14:paraId="3FE0B127" w14:textId="77777777" w:rsidR="002C66C8" w:rsidRDefault="002C66C8" w:rsidP="002C66C8">
      <w:pPr>
        <w:pStyle w:val="Heading3"/>
      </w:pPr>
    </w:p>
    <w:p w14:paraId="29F8F3EB" w14:textId="40455FD4" w:rsidR="00C07431" w:rsidRPr="002C66C8" w:rsidRDefault="00855071" w:rsidP="002C66C8">
      <w:pPr>
        <w:pStyle w:val="Heading3"/>
      </w:pPr>
      <w:r>
        <w:t>Corporate Governance and Stewardship</w:t>
      </w:r>
    </w:p>
    <w:p w14:paraId="4EB2548A" w14:textId="77777777" w:rsidR="00C07431" w:rsidRPr="009B5040" w:rsidRDefault="00C07431" w:rsidP="00C07431">
      <w:pPr>
        <w:spacing w:line="240" w:lineRule="auto"/>
        <w:contextualSpacing/>
        <w:rPr>
          <w:rFonts w:cs="Arial"/>
          <w:sz w:val="22"/>
          <w:szCs w:val="22"/>
        </w:rPr>
      </w:pPr>
    </w:p>
    <w:p w14:paraId="2A6207A1" w14:textId="26E7D1F3" w:rsidR="00C07431" w:rsidRPr="009B5040" w:rsidRDefault="00C07431" w:rsidP="00C07431">
      <w:pPr>
        <w:pStyle w:val="BodyText"/>
        <w:spacing w:after="0" w:line="240" w:lineRule="auto"/>
        <w:contextualSpacing/>
        <w:rPr>
          <w:rFonts w:cs="Arial"/>
          <w:sz w:val="22"/>
          <w:szCs w:val="22"/>
        </w:rPr>
      </w:pPr>
      <w:r w:rsidRPr="009B5040">
        <w:rPr>
          <w:rFonts w:cs="Arial"/>
          <w:sz w:val="22"/>
          <w:szCs w:val="22"/>
        </w:rPr>
        <w:t xml:space="preserve">In endeavouring to invest in </w:t>
      </w:r>
      <w:r w:rsidR="00B25352">
        <w:rPr>
          <w:rFonts w:cs="Arial"/>
          <w:sz w:val="22"/>
          <w:szCs w:val="22"/>
        </w:rPr>
        <w:t xml:space="preserve">the </w:t>
      </w:r>
      <w:r w:rsidRPr="009B5040">
        <w:rPr>
          <w:rFonts w:cs="Arial"/>
          <w:sz w:val="22"/>
          <w:szCs w:val="22"/>
        </w:rPr>
        <w:t xml:space="preserve">best financial interests of the beneficiaries, the Trustees have elected to invest through pooled funds.  </w:t>
      </w:r>
      <w:r w:rsidR="00855071">
        <w:rPr>
          <w:rFonts w:cs="Arial"/>
          <w:sz w:val="22"/>
          <w:szCs w:val="22"/>
        </w:rPr>
        <w:t>Consequently</w:t>
      </w:r>
      <w:r w:rsidR="00855071" w:rsidRPr="00855071">
        <w:rPr>
          <w:rFonts w:cs="Arial"/>
          <w:sz w:val="22"/>
          <w:szCs w:val="22"/>
        </w:rPr>
        <w:t xml:space="preserve">, direct control of the process of engaging with the companies that issue these securities, whether for corporate governance purposes or other financially material considerations, is delegated to the investment managers. </w:t>
      </w:r>
    </w:p>
    <w:p w14:paraId="0DCB68A2" w14:textId="77777777" w:rsidR="00C07431" w:rsidRPr="009B5040" w:rsidRDefault="00C07431" w:rsidP="00C07431">
      <w:pPr>
        <w:pStyle w:val="BodyText"/>
        <w:spacing w:after="0" w:line="240" w:lineRule="auto"/>
        <w:contextualSpacing/>
        <w:rPr>
          <w:rFonts w:cs="Arial"/>
          <w:sz w:val="22"/>
          <w:szCs w:val="22"/>
        </w:rPr>
      </w:pPr>
    </w:p>
    <w:p w14:paraId="3AC9FA9B" w14:textId="77777777" w:rsidR="00C07431" w:rsidRPr="009B5040" w:rsidRDefault="00C07431" w:rsidP="00C07431">
      <w:pPr>
        <w:pStyle w:val="BodyText"/>
        <w:spacing w:after="0" w:line="240" w:lineRule="auto"/>
        <w:contextualSpacing/>
        <w:rPr>
          <w:rFonts w:cs="Arial"/>
          <w:sz w:val="22"/>
          <w:szCs w:val="22"/>
        </w:rPr>
      </w:pPr>
      <w:r>
        <w:rPr>
          <w:rFonts w:cs="Arial"/>
          <w:sz w:val="22"/>
          <w:szCs w:val="22"/>
        </w:rPr>
        <w:t>The investment managers,</w:t>
      </w:r>
      <w:r w:rsidRPr="009B5040">
        <w:rPr>
          <w:rFonts w:cs="Arial"/>
          <w:sz w:val="22"/>
          <w:szCs w:val="22"/>
        </w:rPr>
        <w:t xml:space="preserve"> having clear policies of voting on all important issues on behalf of the investor’s best financial interests, have provided the </w:t>
      </w:r>
      <w:r w:rsidR="00E7499B">
        <w:rPr>
          <w:rFonts w:cs="Arial"/>
          <w:sz w:val="22"/>
          <w:szCs w:val="22"/>
        </w:rPr>
        <w:t>I</w:t>
      </w:r>
      <w:r>
        <w:rPr>
          <w:rFonts w:cs="Arial"/>
          <w:sz w:val="22"/>
          <w:szCs w:val="22"/>
        </w:rPr>
        <w:t xml:space="preserve">nvestment </w:t>
      </w:r>
      <w:r w:rsidR="00E7499B">
        <w:rPr>
          <w:rFonts w:cs="Arial"/>
          <w:sz w:val="22"/>
          <w:szCs w:val="22"/>
        </w:rPr>
        <w:t>A</w:t>
      </w:r>
      <w:r>
        <w:rPr>
          <w:rFonts w:cs="Arial"/>
          <w:sz w:val="22"/>
          <w:szCs w:val="22"/>
        </w:rPr>
        <w:t>dviser</w:t>
      </w:r>
      <w:r w:rsidRPr="009B5040">
        <w:rPr>
          <w:rFonts w:cs="Arial"/>
          <w:sz w:val="22"/>
          <w:szCs w:val="22"/>
        </w:rPr>
        <w:t xml:space="preserve"> with statements dealing with voting policy and practices</w:t>
      </w:r>
      <w:r w:rsidR="00E7499B">
        <w:rPr>
          <w:rFonts w:cs="Arial"/>
          <w:sz w:val="22"/>
          <w:szCs w:val="22"/>
        </w:rPr>
        <w:t>, who has</w:t>
      </w:r>
      <w:r>
        <w:rPr>
          <w:rFonts w:cs="Arial"/>
          <w:sz w:val="22"/>
          <w:szCs w:val="22"/>
        </w:rPr>
        <w:t xml:space="preserve"> brought these statements to the attention of the Trustees where appropriate</w:t>
      </w:r>
      <w:r w:rsidRPr="009B5040">
        <w:rPr>
          <w:rFonts w:cs="Arial"/>
          <w:sz w:val="22"/>
          <w:szCs w:val="22"/>
        </w:rPr>
        <w:t>.  The Trustees have delegated their voting rights and other such powers to the investment managers, the sole purpose of whose corporate governance policies are to protect and enhance the economic interests of clients.</w:t>
      </w:r>
    </w:p>
    <w:p w14:paraId="719FE0A8" w14:textId="5877E845" w:rsidR="007B23CF" w:rsidRDefault="007B23CF" w:rsidP="0086392B">
      <w:pPr>
        <w:pStyle w:val="Heading1"/>
        <w:spacing w:before="0" w:after="0" w:line="240" w:lineRule="auto"/>
        <w:rPr>
          <w:b/>
          <w:sz w:val="22"/>
          <w:szCs w:val="22"/>
        </w:rPr>
      </w:pPr>
    </w:p>
    <w:p w14:paraId="0B16911C" w14:textId="77777777" w:rsidR="00B0197B" w:rsidRPr="00943DA0" w:rsidRDefault="00B0197B" w:rsidP="00943DA0"/>
    <w:p w14:paraId="7A929B4A" w14:textId="17E90C93" w:rsidR="00855071" w:rsidRPr="00943DA0" w:rsidRDefault="00855071" w:rsidP="00855071">
      <w:pPr>
        <w:rPr>
          <w:b/>
          <w:bCs/>
          <w:sz w:val="22"/>
          <w:szCs w:val="22"/>
        </w:rPr>
      </w:pPr>
      <w:r w:rsidRPr="00943DA0">
        <w:rPr>
          <w:b/>
          <w:bCs/>
          <w:sz w:val="22"/>
          <w:szCs w:val="22"/>
        </w:rPr>
        <w:t>Financially material investment considerations</w:t>
      </w:r>
    </w:p>
    <w:p w14:paraId="20CFAF38" w14:textId="77777777" w:rsidR="00855071" w:rsidRDefault="00855071" w:rsidP="00855071">
      <w:pPr>
        <w:rPr>
          <w:sz w:val="22"/>
          <w:szCs w:val="22"/>
        </w:rPr>
      </w:pPr>
    </w:p>
    <w:p w14:paraId="655C5021" w14:textId="2F0D8644" w:rsidR="00855071" w:rsidRPr="00943DA0" w:rsidRDefault="00855071" w:rsidP="00855071">
      <w:pPr>
        <w:rPr>
          <w:sz w:val="22"/>
          <w:szCs w:val="22"/>
        </w:rPr>
      </w:pPr>
      <w:r w:rsidRPr="00943DA0">
        <w:rPr>
          <w:sz w:val="22"/>
          <w:szCs w:val="22"/>
        </w:rPr>
        <w:t xml:space="preserve">These considerations which include the “Risks” set out in Section </w:t>
      </w:r>
      <w:r w:rsidR="007B6F21">
        <w:rPr>
          <w:sz w:val="22"/>
          <w:szCs w:val="22"/>
        </w:rPr>
        <w:t>4</w:t>
      </w:r>
      <w:r w:rsidRPr="00943DA0">
        <w:rPr>
          <w:sz w:val="22"/>
          <w:szCs w:val="22"/>
        </w:rPr>
        <w:t xml:space="preserve"> can affect the long-term financial performance of investments and can (but do not have to) include environmental, </w:t>
      </w:r>
      <w:r w:rsidRPr="00943DA0">
        <w:rPr>
          <w:sz w:val="22"/>
          <w:szCs w:val="22"/>
        </w:rPr>
        <w:lastRenderedPageBreak/>
        <w:t xml:space="preserve">social and governance factors (otherwise known as “ESG”) where relevant. The Trustees delegate the day to day consideration of financially material factors to the investment managers who consider these when constructing their portfolios. All references to ESG relate to financial factors only. All references to ESG also include climate change. </w:t>
      </w:r>
    </w:p>
    <w:p w14:paraId="1A6E1D87" w14:textId="77777777" w:rsidR="007B6F21" w:rsidRDefault="007B6F21" w:rsidP="00855071">
      <w:pPr>
        <w:rPr>
          <w:sz w:val="22"/>
          <w:szCs w:val="22"/>
        </w:rPr>
      </w:pPr>
    </w:p>
    <w:p w14:paraId="217AF1B5" w14:textId="4BF5493C" w:rsidR="00855071" w:rsidRPr="00943DA0" w:rsidRDefault="00855071" w:rsidP="00855071">
      <w:pPr>
        <w:rPr>
          <w:sz w:val="22"/>
          <w:szCs w:val="22"/>
        </w:rPr>
      </w:pPr>
      <w:r w:rsidRPr="00943DA0">
        <w:rPr>
          <w:sz w:val="22"/>
          <w:szCs w:val="22"/>
        </w:rPr>
        <w:t xml:space="preserve">ESG factors and stewardship are considered, in the context of long term performance, by </w:t>
      </w:r>
      <w:r w:rsidR="007B6F21" w:rsidRPr="007B6F21">
        <w:rPr>
          <w:sz w:val="22"/>
          <w:szCs w:val="22"/>
        </w:rPr>
        <w:t xml:space="preserve">St James’s Place Wealth Management </w:t>
      </w:r>
      <w:r w:rsidRPr="00943DA0">
        <w:rPr>
          <w:sz w:val="22"/>
          <w:szCs w:val="22"/>
        </w:rPr>
        <w:t xml:space="preserve">as part of the investment manager selection criteria. This review occurs before investment managers are approved for investment in the portfolio. </w:t>
      </w:r>
      <w:r w:rsidR="007B6F21">
        <w:rPr>
          <w:sz w:val="22"/>
          <w:szCs w:val="22"/>
        </w:rPr>
        <w:t>Changes to</w:t>
      </w:r>
      <w:r w:rsidRPr="00943DA0">
        <w:rPr>
          <w:sz w:val="22"/>
          <w:szCs w:val="22"/>
        </w:rPr>
        <w:t xml:space="preserve"> investment manager appoint</w:t>
      </w:r>
      <w:r w:rsidR="007B6F21">
        <w:rPr>
          <w:sz w:val="22"/>
          <w:szCs w:val="22"/>
        </w:rPr>
        <w:t>ments are notified to the Trustees by</w:t>
      </w:r>
      <w:r w:rsidRPr="00943DA0">
        <w:rPr>
          <w:sz w:val="22"/>
          <w:szCs w:val="22"/>
        </w:rPr>
        <w:t xml:space="preserve"> the Investment Advisor</w:t>
      </w:r>
      <w:r w:rsidR="00950E74">
        <w:rPr>
          <w:sz w:val="22"/>
          <w:szCs w:val="22"/>
        </w:rPr>
        <w:t xml:space="preserve"> as set out above</w:t>
      </w:r>
      <w:r w:rsidR="007B6F21">
        <w:rPr>
          <w:sz w:val="22"/>
          <w:szCs w:val="22"/>
        </w:rPr>
        <w:t>.</w:t>
      </w:r>
      <w:r w:rsidR="007B6F21" w:rsidRPr="007B6F21">
        <w:t xml:space="preserve"> </w:t>
      </w:r>
      <w:r w:rsidR="007B6F21" w:rsidRPr="007B6F21">
        <w:rPr>
          <w:sz w:val="22"/>
          <w:szCs w:val="22"/>
        </w:rPr>
        <w:t>St James’s Place Wealth Management</w:t>
      </w:r>
      <w:r w:rsidRPr="00943DA0">
        <w:rPr>
          <w:sz w:val="22"/>
          <w:szCs w:val="22"/>
        </w:rPr>
        <w:t xml:space="preserve"> monitor the investment manager for ongoing compliance with the expected standards at appointment and with other factors, such as stewardship, as a part of overall governance and engagement.</w:t>
      </w:r>
    </w:p>
    <w:p w14:paraId="7B90537E" w14:textId="77777777" w:rsidR="00855071" w:rsidRDefault="00855071" w:rsidP="00855071">
      <w:pPr>
        <w:rPr>
          <w:sz w:val="22"/>
          <w:szCs w:val="22"/>
        </w:rPr>
      </w:pPr>
    </w:p>
    <w:p w14:paraId="042CB1B4" w14:textId="77777777" w:rsidR="00B0197B" w:rsidRDefault="00B0197B" w:rsidP="00855071">
      <w:pPr>
        <w:rPr>
          <w:b/>
          <w:bCs/>
          <w:sz w:val="22"/>
          <w:szCs w:val="22"/>
        </w:rPr>
      </w:pPr>
    </w:p>
    <w:p w14:paraId="04977FEE" w14:textId="186F62C4" w:rsidR="00855071" w:rsidRPr="00943DA0" w:rsidRDefault="00855071" w:rsidP="00855071">
      <w:pPr>
        <w:rPr>
          <w:b/>
          <w:bCs/>
          <w:sz w:val="22"/>
          <w:szCs w:val="22"/>
        </w:rPr>
      </w:pPr>
      <w:r w:rsidRPr="00943DA0">
        <w:rPr>
          <w:b/>
          <w:bCs/>
          <w:sz w:val="22"/>
          <w:szCs w:val="22"/>
        </w:rPr>
        <w:t>Non-financially material investment considerations</w:t>
      </w:r>
    </w:p>
    <w:p w14:paraId="6229900C" w14:textId="77777777" w:rsidR="00855071" w:rsidRDefault="00855071" w:rsidP="00855071">
      <w:pPr>
        <w:rPr>
          <w:sz w:val="22"/>
          <w:szCs w:val="22"/>
        </w:rPr>
      </w:pPr>
    </w:p>
    <w:p w14:paraId="16D1707F" w14:textId="6CAF1D37" w:rsidR="00855071" w:rsidRPr="00943DA0" w:rsidRDefault="00855071" w:rsidP="00943DA0">
      <w:pPr>
        <w:rPr>
          <w:sz w:val="22"/>
          <w:szCs w:val="22"/>
        </w:rPr>
      </w:pPr>
      <w:r w:rsidRPr="00943DA0">
        <w:rPr>
          <w:sz w:val="22"/>
          <w:szCs w:val="22"/>
        </w:rPr>
        <w:t>The Trustees do not at present take into account non-financially material factors (such as members’ ethical considerations, social and environmental impact matters or future quality of life considerations for members and beneficiaries) when making investment decisions as there is no likely common view on any ethical matters which members are likely to hold.  At this time the Trustees have no plans to seek the views of the membership on ethical considerations</w:t>
      </w:r>
      <w:r w:rsidR="00CB6243">
        <w:rPr>
          <w:sz w:val="22"/>
          <w:szCs w:val="22"/>
        </w:rPr>
        <w:t xml:space="preserve"> but </w:t>
      </w:r>
      <w:r w:rsidR="00BF667E" w:rsidRPr="00BF667E">
        <w:rPr>
          <w:sz w:val="22"/>
          <w:szCs w:val="22"/>
        </w:rPr>
        <w:t>the Trustees make a copy of the Statement of Investment Principles available to members on request and publish a copy of the Statement on a publicly accessible website</w:t>
      </w:r>
      <w:r w:rsidRPr="00943DA0">
        <w:rPr>
          <w:sz w:val="22"/>
          <w:szCs w:val="22"/>
        </w:rPr>
        <w:t>.</w:t>
      </w:r>
    </w:p>
    <w:p w14:paraId="1D7A82F9" w14:textId="77777777" w:rsidR="0086392B" w:rsidRDefault="0036504A" w:rsidP="0086392B">
      <w:pPr>
        <w:pStyle w:val="Heading1"/>
        <w:spacing w:before="0" w:after="0" w:line="240" w:lineRule="auto"/>
        <w:rPr>
          <w:color w:val="auto"/>
        </w:rPr>
      </w:pPr>
      <w:r>
        <w:rPr>
          <w:b/>
          <w:sz w:val="22"/>
          <w:szCs w:val="22"/>
        </w:rPr>
        <w:br w:type="page"/>
      </w:r>
      <w:r w:rsidR="0086392B">
        <w:rPr>
          <w:color w:val="auto"/>
        </w:rPr>
        <w:lastRenderedPageBreak/>
        <w:t>4</w:t>
      </w:r>
      <w:r w:rsidR="0086392B" w:rsidRPr="003E06DD">
        <w:rPr>
          <w:color w:val="auto"/>
        </w:rPr>
        <w:t xml:space="preserve">. </w:t>
      </w:r>
      <w:r w:rsidR="0086392B">
        <w:rPr>
          <w:color w:val="auto"/>
        </w:rPr>
        <w:t>Risks</w:t>
      </w:r>
    </w:p>
    <w:p w14:paraId="7FFF3A55" w14:textId="77777777" w:rsidR="0086392B" w:rsidRPr="00CA2880" w:rsidRDefault="0086392B" w:rsidP="0086392B">
      <w:pPr>
        <w:rPr>
          <w:sz w:val="36"/>
        </w:rPr>
      </w:pPr>
    </w:p>
    <w:p w14:paraId="7D6DD1B3" w14:textId="6E9769CE" w:rsidR="003B10F3" w:rsidRPr="003B10F3" w:rsidRDefault="00737CC8" w:rsidP="00CA2880">
      <w:pPr>
        <w:spacing w:line="240" w:lineRule="auto"/>
        <w:rPr>
          <w:rFonts w:cs="Arial"/>
          <w:sz w:val="22"/>
          <w:szCs w:val="22"/>
        </w:rPr>
      </w:pPr>
      <w:r>
        <w:rPr>
          <w:rFonts w:cs="Arial"/>
          <w:sz w:val="22"/>
          <w:szCs w:val="22"/>
        </w:rPr>
        <w:t>The T</w:t>
      </w:r>
      <w:r w:rsidR="003B10F3" w:rsidRPr="003B10F3">
        <w:rPr>
          <w:rFonts w:cs="Arial"/>
          <w:sz w:val="22"/>
          <w:szCs w:val="22"/>
        </w:rPr>
        <w:t>rustees appreciate that the most important aspect of the security of the members’ benefits is the continued support of the scheme sponsor.  Events that reduce the sponsor’s willing</w:t>
      </w:r>
      <w:r>
        <w:rPr>
          <w:rFonts w:cs="Arial"/>
          <w:sz w:val="22"/>
          <w:szCs w:val="22"/>
        </w:rPr>
        <w:t>ness or ability to support the S</w:t>
      </w:r>
      <w:r w:rsidR="003B10F3" w:rsidRPr="003B10F3">
        <w:rPr>
          <w:rFonts w:cs="Arial"/>
          <w:sz w:val="22"/>
          <w:szCs w:val="22"/>
        </w:rPr>
        <w:t>cheme are the biggest potential threats from the members’ perspective.</w:t>
      </w:r>
      <w:r w:rsidR="008D482D">
        <w:rPr>
          <w:rFonts w:cs="Arial"/>
          <w:sz w:val="22"/>
          <w:szCs w:val="22"/>
        </w:rPr>
        <w:t xml:space="preserve"> The Trustees will discuss developments in the sponsor’s business with the sponsor at least annuall</w:t>
      </w:r>
      <w:r w:rsidR="00E7499B">
        <w:rPr>
          <w:rFonts w:cs="Arial"/>
          <w:sz w:val="22"/>
          <w:szCs w:val="22"/>
        </w:rPr>
        <w:t>y and update thei</w:t>
      </w:r>
      <w:r w:rsidR="008D482D">
        <w:rPr>
          <w:rFonts w:cs="Arial"/>
          <w:sz w:val="22"/>
          <w:szCs w:val="22"/>
        </w:rPr>
        <w:t xml:space="preserve">r assessment of the strength of the employer covenant </w:t>
      </w:r>
      <w:r w:rsidR="00D5223C">
        <w:rPr>
          <w:rFonts w:cs="Arial"/>
          <w:sz w:val="22"/>
          <w:szCs w:val="22"/>
        </w:rPr>
        <w:t>accordingly</w:t>
      </w:r>
      <w:r w:rsidR="00684A9C">
        <w:rPr>
          <w:rFonts w:cs="Arial"/>
          <w:sz w:val="22"/>
          <w:szCs w:val="22"/>
        </w:rPr>
        <w:t>.</w:t>
      </w:r>
      <w:r w:rsidR="00D5223C">
        <w:rPr>
          <w:rFonts w:cs="Arial"/>
          <w:sz w:val="22"/>
          <w:szCs w:val="22"/>
        </w:rPr>
        <w:t xml:space="preserve"> Interim quarterly reviews will be undertaken at times of significant developments of the business.</w:t>
      </w:r>
    </w:p>
    <w:p w14:paraId="7912C5EC" w14:textId="77777777" w:rsidR="003B10F3" w:rsidRPr="003B10F3" w:rsidRDefault="003B10F3" w:rsidP="00CA2880">
      <w:pPr>
        <w:spacing w:line="240" w:lineRule="auto"/>
        <w:rPr>
          <w:rFonts w:cs="Arial"/>
          <w:sz w:val="22"/>
          <w:szCs w:val="22"/>
        </w:rPr>
      </w:pPr>
    </w:p>
    <w:p w14:paraId="603FDF5A" w14:textId="77777777" w:rsidR="003B10F3" w:rsidRDefault="00737CC8" w:rsidP="00CA2880">
      <w:pPr>
        <w:spacing w:line="240" w:lineRule="auto"/>
        <w:rPr>
          <w:rFonts w:cs="Arial"/>
          <w:sz w:val="22"/>
          <w:szCs w:val="22"/>
        </w:rPr>
      </w:pPr>
      <w:r>
        <w:rPr>
          <w:rFonts w:cs="Arial"/>
          <w:sz w:val="22"/>
          <w:szCs w:val="22"/>
        </w:rPr>
        <w:t>The Trustees have adopted a balanced approach to investment risk</w:t>
      </w:r>
      <w:r w:rsidR="003B10F3" w:rsidRPr="003B10F3">
        <w:rPr>
          <w:rFonts w:cs="Arial"/>
          <w:sz w:val="22"/>
          <w:szCs w:val="22"/>
        </w:rPr>
        <w:t xml:space="preserve">.  Taking too little risk can be as damaging for a pension scheme as taking too much risk.  The reduction in long-term expected investment returns </w:t>
      </w:r>
      <w:r w:rsidR="00933638">
        <w:rPr>
          <w:rFonts w:cs="Arial"/>
          <w:sz w:val="22"/>
          <w:szCs w:val="22"/>
        </w:rPr>
        <w:t xml:space="preserve">resulting from an overly cautious approach to risk </w:t>
      </w:r>
      <w:r w:rsidR="003B10F3" w:rsidRPr="003B10F3">
        <w:rPr>
          <w:rFonts w:cs="Arial"/>
          <w:sz w:val="22"/>
          <w:szCs w:val="22"/>
        </w:rPr>
        <w:t xml:space="preserve">may push the costs of the </w:t>
      </w:r>
      <w:r w:rsidR="008D482D">
        <w:rPr>
          <w:rFonts w:cs="Arial"/>
          <w:sz w:val="22"/>
          <w:szCs w:val="22"/>
        </w:rPr>
        <w:t>S</w:t>
      </w:r>
      <w:r w:rsidR="003B10F3" w:rsidRPr="003B10F3">
        <w:rPr>
          <w:rFonts w:cs="Arial"/>
          <w:sz w:val="22"/>
          <w:szCs w:val="22"/>
        </w:rPr>
        <w:t>cheme to become unsustainably high.</w:t>
      </w:r>
    </w:p>
    <w:p w14:paraId="0D6859D6" w14:textId="77777777" w:rsidR="00933638" w:rsidRDefault="00933638" w:rsidP="00CA2880">
      <w:pPr>
        <w:spacing w:line="240" w:lineRule="auto"/>
        <w:rPr>
          <w:rFonts w:cs="Arial"/>
          <w:sz w:val="22"/>
          <w:szCs w:val="22"/>
        </w:rPr>
      </w:pPr>
    </w:p>
    <w:p w14:paraId="774B2DEC" w14:textId="77777777" w:rsidR="00933638" w:rsidRPr="003B10F3" w:rsidRDefault="00933638" w:rsidP="00CA2880">
      <w:pPr>
        <w:spacing w:line="240" w:lineRule="auto"/>
        <w:rPr>
          <w:rFonts w:cs="Arial"/>
          <w:sz w:val="22"/>
          <w:szCs w:val="22"/>
        </w:rPr>
      </w:pPr>
      <w:r>
        <w:rPr>
          <w:rFonts w:cs="Arial"/>
          <w:sz w:val="22"/>
          <w:szCs w:val="22"/>
        </w:rPr>
        <w:t xml:space="preserve">The Trustees have identified the following </w:t>
      </w:r>
      <w:r w:rsidR="004D3753">
        <w:rPr>
          <w:rFonts w:cs="Arial"/>
          <w:sz w:val="22"/>
          <w:szCs w:val="22"/>
        </w:rPr>
        <w:t xml:space="preserve">further </w:t>
      </w:r>
      <w:r>
        <w:rPr>
          <w:rFonts w:cs="Arial"/>
          <w:sz w:val="22"/>
          <w:szCs w:val="22"/>
        </w:rPr>
        <w:t>risks and set out below how they will manage them:</w:t>
      </w:r>
    </w:p>
    <w:p w14:paraId="1A2DA601" w14:textId="77777777" w:rsidR="003B10F3" w:rsidRPr="003B10F3" w:rsidRDefault="003B10F3" w:rsidP="00CA2880">
      <w:pPr>
        <w:spacing w:line="240" w:lineRule="auto"/>
        <w:rPr>
          <w:rFonts w:cs="Arial"/>
          <w:sz w:val="22"/>
          <w:szCs w:val="22"/>
        </w:rPr>
      </w:pPr>
    </w:p>
    <w:p w14:paraId="64464429" w14:textId="77777777" w:rsidR="003B10F3" w:rsidRPr="00933638" w:rsidRDefault="00933638" w:rsidP="00CA2880">
      <w:pPr>
        <w:pStyle w:val="ListParagraph"/>
        <w:numPr>
          <w:ilvl w:val="0"/>
          <w:numId w:val="47"/>
        </w:numPr>
        <w:spacing w:after="0" w:line="240" w:lineRule="auto"/>
        <w:rPr>
          <w:rFonts w:ascii="Arial" w:hAnsi="Arial" w:cs="Arial"/>
          <w:b/>
        </w:rPr>
      </w:pPr>
      <w:r>
        <w:rPr>
          <w:rFonts w:ascii="Arial" w:hAnsi="Arial" w:cs="Arial"/>
          <w:b/>
        </w:rPr>
        <w:t>Funding and asset/liability mismatch risk</w:t>
      </w:r>
      <w:r>
        <w:rPr>
          <w:rFonts w:ascii="Arial" w:hAnsi="Arial" w:cs="Arial"/>
        </w:rPr>
        <w:t xml:space="preserve"> – the risk that the funding level is adversely affected due to a mismatch between the assets and liabilities. This risk is managed as follows:</w:t>
      </w:r>
    </w:p>
    <w:p w14:paraId="76B1C3E4" w14:textId="47D6DCED" w:rsidR="00933638" w:rsidRPr="00933638" w:rsidRDefault="00933638" w:rsidP="00933638">
      <w:pPr>
        <w:pStyle w:val="ListParagraph"/>
        <w:numPr>
          <w:ilvl w:val="1"/>
          <w:numId w:val="47"/>
        </w:numPr>
        <w:spacing w:after="0" w:line="240" w:lineRule="auto"/>
        <w:rPr>
          <w:rFonts w:ascii="Arial" w:hAnsi="Arial" w:cs="Arial"/>
        </w:rPr>
      </w:pPr>
      <w:r w:rsidRPr="00933638">
        <w:rPr>
          <w:rFonts w:ascii="Arial" w:hAnsi="Arial" w:cs="Arial"/>
        </w:rPr>
        <w:t xml:space="preserve">The </w:t>
      </w:r>
      <w:r>
        <w:rPr>
          <w:rFonts w:ascii="Arial" w:hAnsi="Arial" w:cs="Arial"/>
        </w:rPr>
        <w:t xml:space="preserve">asset allocation and projected return is reviewed after each </w:t>
      </w:r>
      <w:r w:rsidR="007B6F21">
        <w:rPr>
          <w:rFonts w:ascii="Arial" w:hAnsi="Arial" w:cs="Arial"/>
        </w:rPr>
        <w:t xml:space="preserve">triennial </w:t>
      </w:r>
      <w:r>
        <w:rPr>
          <w:rFonts w:ascii="Arial" w:hAnsi="Arial" w:cs="Arial"/>
        </w:rPr>
        <w:t>Actuarial Valuation</w:t>
      </w:r>
    </w:p>
    <w:p w14:paraId="1CB4EA5B" w14:textId="77777777" w:rsidR="00933638" w:rsidRPr="00933638" w:rsidRDefault="00933638" w:rsidP="00933638">
      <w:pPr>
        <w:pStyle w:val="ListParagraph"/>
        <w:numPr>
          <w:ilvl w:val="1"/>
          <w:numId w:val="47"/>
        </w:numPr>
        <w:spacing w:after="0" w:line="240" w:lineRule="auto"/>
        <w:rPr>
          <w:rFonts w:ascii="Arial" w:hAnsi="Arial" w:cs="Arial"/>
          <w:b/>
        </w:rPr>
      </w:pPr>
      <w:r>
        <w:rPr>
          <w:rFonts w:ascii="Arial" w:hAnsi="Arial" w:cs="Arial"/>
        </w:rPr>
        <w:t>The Trustees have set an objective for the investment return that exceeds the discount rate adopted in the Actuarial Valuation</w:t>
      </w:r>
    </w:p>
    <w:p w14:paraId="638F6785" w14:textId="1147452D" w:rsidR="00933638" w:rsidRPr="003B10F3" w:rsidRDefault="00D927D0" w:rsidP="00933638">
      <w:pPr>
        <w:pStyle w:val="ListParagraph"/>
        <w:numPr>
          <w:ilvl w:val="1"/>
          <w:numId w:val="47"/>
        </w:numPr>
        <w:spacing w:after="0" w:line="240" w:lineRule="auto"/>
        <w:rPr>
          <w:rFonts w:ascii="Arial" w:hAnsi="Arial" w:cs="Arial"/>
          <w:b/>
        </w:rPr>
      </w:pPr>
      <w:r>
        <w:rPr>
          <w:rFonts w:ascii="Arial" w:hAnsi="Arial" w:cs="Arial"/>
        </w:rPr>
        <w:t>Informal a</w:t>
      </w:r>
      <w:r w:rsidR="00933638">
        <w:rPr>
          <w:rFonts w:ascii="Arial" w:hAnsi="Arial" w:cs="Arial"/>
        </w:rPr>
        <w:t>nnual reviews of the estimated funding level are undertaken between Actuarial Valuations</w:t>
      </w:r>
    </w:p>
    <w:p w14:paraId="0F833794" w14:textId="77777777" w:rsidR="003B10F3" w:rsidRPr="003B10F3" w:rsidRDefault="003B10F3" w:rsidP="00CA2880">
      <w:pPr>
        <w:spacing w:line="240" w:lineRule="auto"/>
        <w:rPr>
          <w:rFonts w:cs="Arial"/>
          <w:b/>
          <w:sz w:val="22"/>
          <w:szCs w:val="22"/>
        </w:rPr>
      </w:pPr>
    </w:p>
    <w:p w14:paraId="37F7EF93" w14:textId="77777777" w:rsidR="003B10F3" w:rsidRPr="001D2ACF" w:rsidRDefault="00933638" w:rsidP="00CA2880">
      <w:pPr>
        <w:pStyle w:val="ListParagraph"/>
        <w:numPr>
          <w:ilvl w:val="0"/>
          <w:numId w:val="47"/>
        </w:numPr>
        <w:spacing w:after="0" w:line="240" w:lineRule="auto"/>
        <w:rPr>
          <w:rFonts w:ascii="Arial" w:hAnsi="Arial" w:cs="Arial"/>
          <w:b/>
        </w:rPr>
      </w:pPr>
      <w:r>
        <w:rPr>
          <w:rFonts w:ascii="Arial" w:hAnsi="Arial" w:cs="Arial"/>
          <w:b/>
        </w:rPr>
        <w:t>Underperformance risk</w:t>
      </w:r>
      <w:r>
        <w:rPr>
          <w:rFonts w:ascii="Arial" w:hAnsi="Arial" w:cs="Arial"/>
        </w:rPr>
        <w:t xml:space="preserve"> – the risk of underperforming the benchmarks and objectives set by the Trustees</w:t>
      </w:r>
      <w:r w:rsidR="001D2ACF">
        <w:rPr>
          <w:rFonts w:ascii="Arial" w:hAnsi="Arial" w:cs="Arial"/>
        </w:rPr>
        <w:t>. This risk is minimised by:</w:t>
      </w:r>
    </w:p>
    <w:p w14:paraId="3DAEA6D4" w14:textId="77777777" w:rsidR="001D2ACF" w:rsidRPr="001D2ACF" w:rsidRDefault="001D2ACF" w:rsidP="001D2ACF">
      <w:pPr>
        <w:pStyle w:val="ListParagraph"/>
        <w:numPr>
          <w:ilvl w:val="1"/>
          <w:numId w:val="47"/>
        </w:numPr>
        <w:spacing w:after="0" w:line="240" w:lineRule="auto"/>
        <w:rPr>
          <w:rFonts w:ascii="Arial" w:hAnsi="Arial" w:cs="Arial"/>
          <w:b/>
        </w:rPr>
      </w:pPr>
      <w:r>
        <w:rPr>
          <w:rFonts w:ascii="Arial" w:hAnsi="Arial" w:cs="Arial"/>
        </w:rPr>
        <w:t xml:space="preserve">Appropriate diversification across asset classes and </w:t>
      </w:r>
      <w:r w:rsidR="00E7499B">
        <w:rPr>
          <w:rFonts w:ascii="Arial" w:hAnsi="Arial" w:cs="Arial"/>
        </w:rPr>
        <w:t>i</w:t>
      </w:r>
      <w:r>
        <w:rPr>
          <w:rFonts w:ascii="Arial" w:hAnsi="Arial" w:cs="Arial"/>
        </w:rPr>
        <w:t xml:space="preserve">nvestment </w:t>
      </w:r>
      <w:r w:rsidR="00E7499B">
        <w:rPr>
          <w:rFonts w:ascii="Arial" w:hAnsi="Arial" w:cs="Arial"/>
        </w:rPr>
        <w:t>m</w:t>
      </w:r>
      <w:r>
        <w:rPr>
          <w:rFonts w:ascii="Arial" w:hAnsi="Arial" w:cs="Arial"/>
        </w:rPr>
        <w:t>anagers</w:t>
      </w:r>
    </w:p>
    <w:p w14:paraId="7042F758" w14:textId="77777777" w:rsidR="001D2ACF" w:rsidRPr="003B10F3" w:rsidRDefault="00E7499B" w:rsidP="001D2ACF">
      <w:pPr>
        <w:pStyle w:val="ListParagraph"/>
        <w:numPr>
          <w:ilvl w:val="1"/>
          <w:numId w:val="47"/>
        </w:numPr>
        <w:spacing w:after="0" w:line="240" w:lineRule="auto"/>
        <w:rPr>
          <w:rFonts w:ascii="Arial" w:hAnsi="Arial" w:cs="Arial"/>
          <w:b/>
        </w:rPr>
      </w:pPr>
      <w:r>
        <w:rPr>
          <w:rFonts w:ascii="Arial" w:hAnsi="Arial" w:cs="Arial"/>
        </w:rPr>
        <w:t>Regular monitoring of i</w:t>
      </w:r>
      <w:r w:rsidR="001D2ACF">
        <w:rPr>
          <w:rFonts w:ascii="Arial" w:hAnsi="Arial" w:cs="Arial"/>
        </w:rPr>
        <w:t xml:space="preserve">nvestment </w:t>
      </w:r>
      <w:r>
        <w:rPr>
          <w:rFonts w:ascii="Arial" w:hAnsi="Arial" w:cs="Arial"/>
        </w:rPr>
        <w:t>m</w:t>
      </w:r>
      <w:r w:rsidR="001D2ACF">
        <w:rPr>
          <w:rFonts w:ascii="Arial" w:hAnsi="Arial" w:cs="Arial"/>
        </w:rPr>
        <w:t>anagers’ performance by the Trustees</w:t>
      </w:r>
      <w:r w:rsidR="008D482D">
        <w:rPr>
          <w:rFonts w:ascii="Arial" w:hAnsi="Arial" w:cs="Arial"/>
        </w:rPr>
        <w:t>’</w:t>
      </w:r>
      <w:r w:rsidR="001D2ACF">
        <w:rPr>
          <w:rFonts w:ascii="Arial" w:hAnsi="Arial" w:cs="Arial"/>
        </w:rPr>
        <w:t xml:space="preserve"> Investment Advisers</w:t>
      </w:r>
    </w:p>
    <w:p w14:paraId="5417CD20" w14:textId="77777777" w:rsidR="003B10F3" w:rsidRPr="003B10F3" w:rsidRDefault="003B10F3" w:rsidP="00CA2880">
      <w:pPr>
        <w:spacing w:line="240" w:lineRule="auto"/>
        <w:rPr>
          <w:rFonts w:cs="Arial"/>
          <w:b/>
          <w:sz w:val="22"/>
          <w:szCs w:val="22"/>
        </w:rPr>
      </w:pPr>
    </w:p>
    <w:p w14:paraId="30251CAB" w14:textId="7913B4E4" w:rsidR="00A90860" w:rsidRPr="00A90860" w:rsidRDefault="00A90860" w:rsidP="00CA2880">
      <w:pPr>
        <w:pStyle w:val="ListParagraph"/>
        <w:numPr>
          <w:ilvl w:val="0"/>
          <w:numId w:val="47"/>
        </w:numPr>
        <w:spacing w:after="0" w:line="240" w:lineRule="auto"/>
        <w:rPr>
          <w:rFonts w:ascii="Arial" w:hAnsi="Arial" w:cs="Arial"/>
          <w:b/>
        </w:rPr>
      </w:pPr>
      <w:r>
        <w:rPr>
          <w:rFonts w:ascii="Arial" w:hAnsi="Arial" w:cs="Arial"/>
          <w:b/>
        </w:rPr>
        <w:t>Other Investment Manager risks</w:t>
      </w:r>
      <w:r>
        <w:rPr>
          <w:rFonts w:ascii="Arial" w:hAnsi="Arial" w:cs="Arial"/>
        </w:rPr>
        <w:t xml:space="preserve"> – these risks include the risk of unsuitable investment activity</w:t>
      </w:r>
      <w:r w:rsidR="00D5223C">
        <w:rPr>
          <w:rFonts w:ascii="Arial" w:hAnsi="Arial" w:cs="Arial"/>
        </w:rPr>
        <w:t xml:space="preserve"> including ESG factors</w:t>
      </w:r>
      <w:r>
        <w:rPr>
          <w:rFonts w:ascii="Arial" w:hAnsi="Arial" w:cs="Arial"/>
        </w:rPr>
        <w:t>, the risk of income from assets not being paid when promised, counterparty risks (for example to the extent that managers have hedged out foreign exchange risks in their portfolios) and the risk of inadequate internal processes at managers, including ensuring secure custody arrangements. The Trustees have delegated the management of these risks to St James’s Place Wealth Management.</w:t>
      </w:r>
    </w:p>
    <w:p w14:paraId="1AC99002" w14:textId="77777777" w:rsidR="00A90860" w:rsidRDefault="00A90860" w:rsidP="00A90860">
      <w:pPr>
        <w:pStyle w:val="ListParagraph"/>
        <w:spacing w:after="0" w:line="240" w:lineRule="auto"/>
        <w:rPr>
          <w:rFonts w:ascii="Arial" w:hAnsi="Arial" w:cs="Arial"/>
          <w:b/>
        </w:rPr>
      </w:pPr>
      <w:r>
        <w:rPr>
          <w:rFonts w:ascii="Arial" w:hAnsi="Arial" w:cs="Arial"/>
        </w:rPr>
        <w:t xml:space="preserve"> </w:t>
      </w:r>
    </w:p>
    <w:p w14:paraId="41A665EF" w14:textId="77777777" w:rsidR="003B10F3" w:rsidRPr="001D2ACF" w:rsidRDefault="001D2ACF" w:rsidP="00CA2880">
      <w:pPr>
        <w:pStyle w:val="ListParagraph"/>
        <w:numPr>
          <w:ilvl w:val="0"/>
          <w:numId w:val="47"/>
        </w:numPr>
        <w:spacing w:after="0" w:line="240" w:lineRule="auto"/>
        <w:rPr>
          <w:rFonts w:ascii="Arial" w:hAnsi="Arial" w:cs="Arial"/>
          <w:b/>
        </w:rPr>
      </w:pPr>
      <w:r>
        <w:rPr>
          <w:rFonts w:ascii="Arial" w:hAnsi="Arial" w:cs="Arial"/>
          <w:b/>
        </w:rPr>
        <w:t xml:space="preserve">Country risk </w:t>
      </w:r>
      <w:r>
        <w:rPr>
          <w:rFonts w:ascii="Arial" w:hAnsi="Arial" w:cs="Arial"/>
        </w:rPr>
        <w:t>– the risk of an adverse influence on investment values from political intervention is reduced by diversification of the assets across many countries.</w:t>
      </w:r>
    </w:p>
    <w:p w14:paraId="27A1470F" w14:textId="77777777" w:rsidR="001D2ACF" w:rsidRDefault="001D2ACF" w:rsidP="001D2ACF">
      <w:pPr>
        <w:pStyle w:val="ListParagraph"/>
        <w:spacing w:after="0" w:line="240" w:lineRule="auto"/>
        <w:rPr>
          <w:rFonts w:ascii="Arial" w:hAnsi="Arial" w:cs="Arial"/>
          <w:b/>
        </w:rPr>
      </w:pPr>
    </w:p>
    <w:p w14:paraId="712FDDFE" w14:textId="77777777" w:rsidR="001D2ACF" w:rsidRPr="00A90860" w:rsidRDefault="001D2ACF" w:rsidP="001D2ACF">
      <w:pPr>
        <w:pStyle w:val="ListParagraph"/>
        <w:numPr>
          <w:ilvl w:val="0"/>
          <w:numId w:val="47"/>
        </w:numPr>
        <w:spacing w:after="0" w:line="240" w:lineRule="auto"/>
        <w:rPr>
          <w:rFonts w:ascii="Arial" w:hAnsi="Arial" w:cs="Arial"/>
          <w:b/>
        </w:rPr>
      </w:pPr>
      <w:r>
        <w:rPr>
          <w:rFonts w:ascii="Arial" w:hAnsi="Arial" w:cs="Arial"/>
          <w:b/>
        </w:rPr>
        <w:t xml:space="preserve">Concentration risk </w:t>
      </w:r>
      <w:r>
        <w:rPr>
          <w:rFonts w:ascii="Arial" w:hAnsi="Arial" w:cs="Arial"/>
        </w:rPr>
        <w:t>– the risk of an adverse influence on investment values from the concentration of holdings is reduced by the diversification of the assets.</w:t>
      </w:r>
    </w:p>
    <w:p w14:paraId="5464476B" w14:textId="77777777" w:rsidR="00A90860" w:rsidRPr="001D2ACF" w:rsidRDefault="00A90860" w:rsidP="00A90860">
      <w:pPr>
        <w:pStyle w:val="ListParagraph"/>
        <w:spacing w:after="0" w:line="240" w:lineRule="auto"/>
        <w:ind w:left="0"/>
        <w:rPr>
          <w:rFonts w:ascii="Arial" w:hAnsi="Arial" w:cs="Arial"/>
          <w:b/>
        </w:rPr>
      </w:pPr>
    </w:p>
    <w:p w14:paraId="58F5AD91" w14:textId="77777777" w:rsidR="00D5223C" w:rsidRPr="00943DA0" w:rsidRDefault="00A90860" w:rsidP="00D5223C">
      <w:pPr>
        <w:pStyle w:val="ListParagraph"/>
        <w:numPr>
          <w:ilvl w:val="0"/>
          <w:numId w:val="47"/>
        </w:numPr>
        <w:spacing w:after="0" w:line="240" w:lineRule="auto"/>
        <w:rPr>
          <w:rFonts w:ascii="Arial" w:hAnsi="Arial" w:cs="Arial"/>
          <w:b/>
        </w:rPr>
      </w:pPr>
      <w:r>
        <w:rPr>
          <w:rFonts w:ascii="Arial" w:hAnsi="Arial" w:cs="Arial"/>
          <w:b/>
        </w:rPr>
        <w:t xml:space="preserve">Cash flow risk </w:t>
      </w:r>
      <w:r>
        <w:rPr>
          <w:rFonts w:ascii="Arial" w:hAnsi="Arial" w:cs="Arial"/>
        </w:rPr>
        <w:t xml:space="preserve">– addressed by the Trustees </w:t>
      </w:r>
      <w:r w:rsidR="004D3753">
        <w:rPr>
          <w:rFonts w:ascii="Arial" w:hAnsi="Arial" w:cs="Arial"/>
        </w:rPr>
        <w:t xml:space="preserve">regularly </w:t>
      </w:r>
      <w:r>
        <w:rPr>
          <w:rFonts w:ascii="Arial" w:hAnsi="Arial" w:cs="Arial"/>
        </w:rPr>
        <w:t>m</w:t>
      </w:r>
      <w:r w:rsidR="004D3753">
        <w:rPr>
          <w:rFonts w:ascii="Arial" w:hAnsi="Arial" w:cs="Arial"/>
        </w:rPr>
        <w:t>onitoring the cash flow requirem</w:t>
      </w:r>
      <w:r>
        <w:rPr>
          <w:rFonts w:ascii="Arial" w:hAnsi="Arial" w:cs="Arial"/>
        </w:rPr>
        <w:t>ents of the Scheme</w:t>
      </w:r>
      <w:r w:rsidR="004D3753">
        <w:rPr>
          <w:rFonts w:ascii="Arial" w:hAnsi="Arial" w:cs="Arial"/>
        </w:rPr>
        <w:t xml:space="preserve"> to control the timing of any disinvestment of assets.</w:t>
      </w:r>
    </w:p>
    <w:p w14:paraId="52205595" w14:textId="77777777" w:rsidR="00D5223C" w:rsidRPr="00943DA0" w:rsidRDefault="00D5223C" w:rsidP="00943DA0">
      <w:pPr>
        <w:pStyle w:val="ListParagraph"/>
        <w:rPr>
          <w:rFonts w:cs="Arial"/>
          <w:b/>
        </w:rPr>
      </w:pPr>
    </w:p>
    <w:p w14:paraId="026FEFC2" w14:textId="635ED4CA" w:rsidR="003B10F3" w:rsidRPr="003B10F3" w:rsidRDefault="00D5223C" w:rsidP="000026ED">
      <w:pPr>
        <w:pStyle w:val="ListParagraph"/>
        <w:spacing w:after="0" w:line="240" w:lineRule="auto"/>
        <w:rPr>
          <w:rFonts w:cs="Arial"/>
        </w:rPr>
      </w:pPr>
      <w:r w:rsidRPr="00943DA0">
        <w:rPr>
          <w:rFonts w:ascii="Arial" w:hAnsi="Arial" w:cs="Arial"/>
          <w:bCs/>
        </w:rPr>
        <w:t xml:space="preserve">The Trustees keep these risks and how they are measured and managed under regular review through the maintenance of a risk register, which is reviewed </w:t>
      </w:r>
      <w:r>
        <w:rPr>
          <w:rFonts w:ascii="Arial" w:hAnsi="Arial" w:cs="Arial"/>
          <w:bCs/>
        </w:rPr>
        <w:t>annually</w:t>
      </w:r>
      <w:r w:rsidRPr="00943DA0">
        <w:rPr>
          <w:rFonts w:ascii="Arial" w:hAnsi="Arial" w:cs="Arial"/>
          <w:bCs/>
        </w:rPr>
        <w:t>.</w:t>
      </w:r>
    </w:p>
    <w:p w14:paraId="1B4D9DE6" w14:textId="77777777" w:rsidR="009C14E4" w:rsidRDefault="007E23E9" w:rsidP="00CA2880">
      <w:pPr>
        <w:pStyle w:val="Heading1"/>
        <w:spacing w:before="0" w:after="0" w:line="240" w:lineRule="auto"/>
        <w:rPr>
          <w:color w:val="auto"/>
        </w:rPr>
      </w:pPr>
      <w:bookmarkStart w:id="3" w:name="_Toc192580101"/>
      <w:r>
        <w:rPr>
          <w:color w:val="auto"/>
          <w:sz w:val="22"/>
          <w:szCs w:val="22"/>
        </w:rPr>
        <w:br w:type="page"/>
      </w:r>
      <w:r w:rsidR="004D3753">
        <w:rPr>
          <w:color w:val="auto"/>
        </w:rPr>
        <w:lastRenderedPageBreak/>
        <w:t>5</w:t>
      </w:r>
      <w:r w:rsidR="009C14E4" w:rsidRPr="007777DD">
        <w:rPr>
          <w:color w:val="auto"/>
        </w:rPr>
        <w:t xml:space="preserve">. </w:t>
      </w:r>
      <w:proofErr w:type="spellStart"/>
      <w:r w:rsidR="009C14E4" w:rsidRPr="007777DD">
        <w:rPr>
          <w:color w:val="auto"/>
        </w:rPr>
        <w:t>Myners</w:t>
      </w:r>
      <w:proofErr w:type="spellEnd"/>
      <w:r w:rsidR="009C14E4" w:rsidRPr="007777DD">
        <w:rPr>
          <w:color w:val="auto"/>
        </w:rPr>
        <w:t xml:space="preserve"> Investment Principles</w:t>
      </w:r>
      <w:bookmarkEnd w:id="3"/>
    </w:p>
    <w:p w14:paraId="0BAF51C8" w14:textId="77777777" w:rsidR="00366CB8" w:rsidRPr="00CA2880" w:rsidRDefault="00366CB8" w:rsidP="00CA2880">
      <w:pPr>
        <w:spacing w:line="240" w:lineRule="auto"/>
        <w:rPr>
          <w:sz w:val="36"/>
        </w:rPr>
      </w:pPr>
    </w:p>
    <w:p w14:paraId="5FE12C3D" w14:textId="77777777" w:rsidR="009C14E4" w:rsidRPr="00366CB8" w:rsidRDefault="009C14E4" w:rsidP="007E23E9">
      <w:pPr>
        <w:pStyle w:val="BodyText"/>
        <w:spacing w:after="0" w:line="240" w:lineRule="auto"/>
        <w:rPr>
          <w:rFonts w:cs="Arial"/>
          <w:sz w:val="22"/>
          <w:szCs w:val="22"/>
        </w:rPr>
      </w:pPr>
      <w:r w:rsidRPr="00366CB8">
        <w:rPr>
          <w:sz w:val="22"/>
          <w:szCs w:val="22"/>
        </w:rPr>
        <w:t xml:space="preserve">The Trustees recognise the relevance to pension schemes of the </w:t>
      </w:r>
      <w:proofErr w:type="spellStart"/>
      <w:r w:rsidRPr="00366CB8">
        <w:rPr>
          <w:sz w:val="22"/>
          <w:szCs w:val="22"/>
        </w:rPr>
        <w:t>Myners</w:t>
      </w:r>
      <w:proofErr w:type="spellEnd"/>
      <w:r w:rsidR="00C45D38" w:rsidRPr="00366CB8">
        <w:rPr>
          <w:sz w:val="22"/>
          <w:szCs w:val="22"/>
        </w:rPr>
        <w:t>’</w:t>
      </w:r>
      <w:r w:rsidRPr="00366CB8">
        <w:rPr>
          <w:sz w:val="22"/>
          <w:szCs w:val="22"/>
        </w:rPr>
        <w:t xml:space="preserve"> </w:t>
      </w:r>
      <w:r w:rsidR="00C45D38" w:rsidRPr="00366CB8">
        <w:rPr>
          <w:sz w:val="22"/>
          <w:szCs w:val="22"/>
          <w:lang w:eastAsia="en-US"/>
        </w:rPr>
        <w:t>I</w:t>
      </w:r>
      <w:r w:rsidRPr="00366CB8">
        <w:rPr>
          <w:sz w:val="22"/>
          <w:szCs w:val="22"/>
          <w:lang w:eastAsia="en-US"/>
        </w:rPr>
        <w:t xml:space="preserve">nvestment </w:t>
      </w:r>
      <w:r w:rsidR="00C45D38" w:rsidRPr="00366CB8">
        <w:rPr>
          <w:sz w:val="22"/>
          <w:szCs w:val="22"/>
          <w:lang w:eastAsia="en-US"/>
        </w:rPr>
        <w:t>P</w:t>
      </w:r>
      <w:r w:rsidRPr="00366CB8">
        <w:rPr>
          <w:sz w:val="22"/>
          <w:szCs w:val="22"/>
          <w:lang w:eastAsia="en-US"/>
        </w:rPr>
        <w:t>rinciples that were published b</w:t>
      </w:r>
      <w:r w:rsidR="00456FC4" w:rsidRPr="00366CB8">
        <w:rPr>
          <w:sz w:val="22"/>
          <w:szCs w:val="22"/>
          <w:lang w:eastAsia="en-US"/>
        </w:rPr>
        <w:t>y the Government in October 2001, and updated in March 2008</w:t>
      </w:r>
      <w:r w:rsidRPr="00366CB8">
        <w:rPr>
          <w:sz w:val="22"/>
          <w:szCs w:val="22"/>
          <w:lang w:eastAsia="en-US"/>
        </w:rPr>
        <w:t xml:space="preserve">. </w:t>
      </w:r>
      <w:r w:rsidR="00456FC4" w:rsidRPr="00366CB8">
        <w:rPr>
          <w:sz w:val="22"/>
          <w:szCs w:val="22"/>
          <w:lang w:eastAsia="en-US"/>
        </w:rPr>
        <w:t xml:space="preserve"> </w:t>
      </w:r>
      <w:r w:rsidRPr="00366CB8">
        <w:rPr>
          <w:rFonts w:cs="Arial"/>
          <w:sz w:val="22"/>
          <w:szCs w:val="22"/>
        </w:rPr>
        <w:t xml:space="preserve">The Scheme’s adherence to (or otherwise) the </w:t>
      </w:r>
      <w:proofErr w:type="spellStart"/>
      <w:r w:rsidRPr="00366CB8">
        <w:rPr>
          <w:rFonts w:cs="Arial"/>
          <w:sz w:val="22"/>
          <w:szCs w:val="22"/>
        </w:rPr>
        <w:t>Myners</w:t>
      </w:r>
      <w:proofErr w:type="spellEnd"/>
      <w:r w:rsidRPr="00366CB8">
        <w:rPr>
          <w:rFonts w:cs="Arial"/>
          <w:sz w:val="22"/>
          <w:szCs w:val="22"/>
        </w:rPr>
        <w:t xml:space="preserve">’ </w:t>
      </w:r>
      <w:r w:rsidR="00C45D38" w:rsidRPr="00366CB8">
        <w:rPr>
          <w:rFonts w:cs="Arial"/>
          <w:sz w:val="22"/>
          <w:szCs w:val="22"/>
        </w:rPr>
        <w:t xml:space="preserve">Investment </w:t>
      </w:r>
      <w:r w:rsidRPr="00366CB8">
        <w:rPr>
          <w:rFonts w:cs="Arial"/>
          <w:sz w:val="22"/>
          <w:szCs w:val="22"/>
        </w:rPr>
        <w:t>Principles is set out below.</w:t>
      </w:r>
    </w:p>
    <w:p w14:paraId="5C6AFE0B" w14:textId="77777777" w:rsidR="00456FC4" w:rsidRPr="00366CB8" w:rsidRDefault="00456FC4" w:rsidP="00CA2880">
      <w:pPr>
        <w:pStyle w:val="BodyText"/>
        <w:spacing w:after="0" w:line="240" w:lineRule="auto"/>
        <w:rPr>
          <w:rFonts w:cs="Arial"/>
          <w:sz w:val="22"/>
          <w:szCs w:val="22"/>
        </w:rPr>
      </w:pPr>
    </w:p>
    <w:p w14:paraId="0FA0DCB1" w14:textId="77777777" w:rsidR="00456FC4" w:rsidRPr="00366CB8" w:rsidRDefault="00456FC4" w:rsidP="00CA2880">
      <w:pPr>
        <w:spacing w:line="240" w:lineRule="auto"/>
        <w:rPr>
          <w:rFonts w:cs="Arial"/>
          <w:b/>
          <w:bCs/>
          <w:sz w:val="22"/>
          <w:szCs w:val="22"/>
        </w:rPr>
      </w:pPr>
      <w:r w:rsidRPr="00366CB8">
        <w:rPr>
          <w:rFonts w:cs="Arial"/>
          <w:b/>
          <w:bCs/>
          <w:sz w:val="22"/>
          <w:szCs w:val="22"/>
        </w:rPr>
        <w:t xml:space="preserve">Principle 1: Effective Decision-Making </w:t>
      </w:r>
    </w:p>
    <w:p w14:paraId="293F2CF9" w14:textId="77777777" w:rsidR="00456FC4" w:rsidRPr="00366CB8" w:rsidRDefault="00456FC4" w:rsidP="00CA2880">
      <w:pPr>
        <w:spacing w:line="240" w:lineRule="auto"/>
        <w:rPr>
          <w:rFonts w:cs="Arial"/>
          <w:color w:val="800000"/>
          <w:sz w:val="22"/>
          <w:szCs w:val="22"/>
        </w:rPr>
      </w:pPr>
    </w:p>
    <w:p w14:paraId="77AD088C" w14:textId="77777777" w:rsidR="00456FC4" w:rsidRPr="00366CB8" w:rsidRDefault="00456FC4" w:rsidP="00CA2880">
      <w:pPr>
        <w:spacing w:line="240" w:lineRule="auto"/>
        <w:rPr>
          <w:rFonts w:cs="Arial"/>
          <w:i/>
          <w:color w:val="000000"/>
          <w:sz w:val="22"/>
          <w:szCs w:val="22"/>
        </w:rPr>
      </w:pPr>
      <w:r w:rsidRPr="00366CB8">
        <w:rPr>
          <w:rFonts w:cs="Arial"/>
          <w:i/>
          <w:color w:val="000000"/>
          <w:sz w:val="22"/>
          <w:szCs w:val="22"/>
        </w:rPr>
        <w:t>“Trustees should ensure that decisions are taken by persons or organi</w:t>
      </w:r>
      <w:r w:rsidR="00194D0D" w:rsidRPr="00366CB8">
        <w:rPr>
          <w:rFonts w:cs="Arial"/>
          <w:i/>
          <w:color w:val="000000"/>
          <w:sz w:val="22"/>
          <w:szCs w:val="22"/>
        </w:rPr>
        <w:t>s</w:t>
      </w:r>
      <w:r w:rsidRPr="00366CB8">
        <w:rPr>
          <w:rFonts w:cs="Arial"/>
          <w:i/>
          <w:color w:val="000000"/>
          <w:sz w:val="22"/>
          <w:szCs w:val="22"/>
        </w:rPr>
        <w:t>ations with the skills, knowledge, advice and resources necessary to take them effectively and monitor their implementation.</w:t>
      </w:r>
    </w:p>
    <w:p w14:paraId="442DD6A0" w14:textId="77777777" w:rsidR="00456FC4" w:rsidRPr="00366CB8" w:rsidRDefault="00456FC4" w:rsidP="00CA2880">
      <w:pPr>
        <w:spacing w:line="240" w:lineRule="auto"/>
        <w:rPr>
          <w:rFonts w:cs="Arial"/>
          <w:i/>
          <w:color w:val="000000"/>
          <w:sz w:val="22"/>
          <w:szCs w:val="22"/>
        </w:rPr>
      </w:pPr>
    </w:p>
    <w:p w14:paraId="2D8F8407" w14:textId="77777777" w:rsidR="00456FC4" w:rsidRPr="00366CB8" w:rsidRDefault="00456FC4" w:rsidP="00CA2880">
      <w:pPr>
        <w:spacing w:line="240" w:lineRule="auto"/>
        <w:rPr>
          <w:rFonts w:cs="Arial"/>
          <w:i/>
          <w:color w:val="000000"/>
          <w:sz w:val="22"/>
          <w:szCs w:val="22"/>
        </w:rPr>
      </w:pPr>
      <w:r w:rsidRPr="00366CB8">
        <w:rPr>
          <w:rFonts w:cs="Arial"/>
          <w:i/>
          <w:color w:val="000000"/>
          <w:sz w:val="22"/>
          <w:szCs w:val="22"/>
        </w:rPr>
        <w:t>Trustees should have sufficient expertise to be able to evaluate and challenge the advice they receive, and manage conflicts of interest.”</w:t>
      </w:r>
    </w:p>
    <w:p w14:paraId="75C8DA74" w14:textId="77777777" w:rsidR="00456FC4" w:rsidRPr="00366CB8" w:rsidRDefault="00456FC4" w:rsidP="00CA2880">
      <w:pPr>
        <w:spacing w:line="240" w:lineRule="auto"/>
        <w:rPr>
          <w:rFonts w:cs="Arial"/>
          <w:color w:val="000000"/>
          <w:sz w:val="22"/>
          <w:szCs w:val="22"/>
        </w:rPr>
      </w:pPr>
    </w:p>
    <w:p w14:paraId="35719325" w14:textId="77777777" w:rsidR="009C14E4" w:rsidRPr="00366CB8" w:rsidRDefault="009C14E4" w:rsidP="00CA2880">
      <w:pPr>
        <w:pStyle w:val="BodyText"/>
        <w:numPr>
          <w:ilvl w:val="0"/>
          <w:numId w:val="29"/>
        </w:numPr>
        <w:spacing w:after="0" w:line="240" w:lineRule="auto"/>
        <w:rPr>
          <w:sz w:val="22"/>
          <w:szCs w:val="22"/>
        </w:rPr>
      </w:pPr>
      <w:r w:rsidRPr="00366CB8">
        <w:rPr>
          <w:sz w:val="22"/>
          <w:szCs w:val="22"/>
        </w:rPr>
        <w:t xml:space="preserve">The Trustees make </w:t>
      </w:r>
      <w:r w:rsidR="00E6149E" w:rsidRPr="00366CB8">
        <w:rPr>
          <w:sz w:val="22"/>
          <w:szCs w:val="22"/>
        </w:rPr>
        <w:t xml:space="preserve">investment </w:t>
      </w:r>
      <w:r w:rsidRPr="00366CB8">
        <w:rPr>
          <w:sz w:val="22"/>
          <w:szCs w:val="22"/>
        </w:rPr>
        <w:t xml:space="preserve">decisions by consulting with professionals that they feel are best equipped to give that advice. Long-term strategic investment decisions are made in consultation with the Scheme’s </w:t>
      </w:r>
      <w:r w:rsidR="00E7499B">
        <w:rPr>
          <w:sz w:val="22"/>
          <w:szCs w:val="22"/>
        </w:rPr>
        <w:t>I</w:t>
      </w:r>
      <w:r w:rsidRPr="00366CB8">
        <w:rPr>
          <w:sz w:val="22"/>
          <w:szCs w:val="22"/>
        </w:rPr>
        <w:t xml:space="preserve">nvestment </w:t>
      </w:r>
      <w:r w:rsidR="00E7499B">
        <w:rPr>
          <w:sz w:val="22"/>
          <w:szCs w:val="22"/>
        </w:rPr>
        <w:t>A</w:t>
      </w:r>
      <w:r w:rsidR="004D3753">
        <w:rPr>
          <w:sz w:val="22"/>
          <w:szCs w:val="22"/>
        </w:rPr>
        <w:t>dviser</w:t>
      </w:r>
      <w:r w:rsidRPr="00366CB8">
        <w:rPr>
          <w:sz w:val="22"/>
          <w:szCs w:val="22"/>
        </w:rPr>
        <w:t xml:space="preserve">, whereas tactical decisions </w:t>
      </w:r>
      <w:r w:rsidR="00F01521" w:rsidRPr="00366CB8">
        <w:rPr>
          <w:sz w:val="22"/>
          <w:szCs w:val="22"/>
        </w:rPr>
        <w:t xml:space="preserve">are </w:t>
      </w:r>
      <w:r w:rsidR="00BE44F5" w:rsidRPr="00366CB8">
        <w:rPr>
          <w:sz w:val="22"/>
          <w:szCs w:val="22"/>
        </w:rPr>
        <w:t>made by</w:t>
      </w:r>
      <w:r w:rsidRPr="00366CB8">
        <w:rPr>
          <w:sz w:val="22"/>
          <w:szCs w:val="22"/>
        </w:rPr>
        <w:t xml:space="preserve"> the appropriate </w:t>
      </w:r>
      <w:r w:rsidR="00E7499B">
        <w:rPr>
          <w:sz w:val="22"/>
          <w:szCs w:val="22"/>
        </w:rPr>
        <w:t xml:space="preserve">investment or </w:t>
      </w:r>
      <w:r w:rsidRPr="00366CB8">
        <w:rPr>
          <w:sz w:val="22"/>
          <w:szCs w:val="22"/>
        </w:rPr>
        <w:t>fund man</w:t>
      </w:r>
      <w:r w:rsidR="00E23B76" w:rsidRPr="00366CB8">
        <w:rPr>
          <w:sz w:val="22"/>
          <w:szCs w:val="22"/>
        </w:rPr>
        <w:t>a</w:t>
      </w:r>
      <w:r w:rsidRPr="00366CB8">
        <w:rPr>
          <w:sz w:val="22"/>
          <w:szCs w:val="22"/>
        </w:rPr>
        <w:t>ger.</w:t>
      </w:r>
    </w:p>
    <w:p w14:paraId="6126C7C8" w14:textId="77777777" w:rsidR="00E6149E" w:rsidRPr="00366CB8" w:rsidRDefault="00E6149E" w:rsidP="00CA2880">
      <w:pPr>
        <w:spacing w:line="240" w:lineRule="auto"/>
        <w:rPr>
          <w:rFonts w:cs="Arial"/>
          <w:b/>
          <w:bCs/>
          <w:sz w:val="22"/>
          <w:szCs w:val="22"/>
          <w:lang w:val="en-US" w:eastAsia="en-US"/>
        </w:rPr>
      </w:pPr>
    </w:p>
    <w:p w14:paraId="27CB3F97" w14:textId="77777777" w:rsidR="00456FC4" w:rsidRPr="00366CB8" w:rsidRDefault="00456FC4" w:rsidP="00CA2880">
      <w:pPr>
        <w:spacing w:line="240" w:lineRule="auto"/>
        <w:rPr>
          <w:rFonts w:cs="Arial"/>
          <w:sz w:val="22"/>
          <w:szCs w:val="22"/>
          <w:lang w:val="en-US" w:eastAsia="en-US"/>
        </w:rPr>
      </w:pPr>
      <w:r w:rsidRPr="00366CB8">
        <w:rPr>
          <w:rFonts w:cs="Arial"/>
          <w:b/>
          <w:bCs/>
          <w:sz w:val="22"/>
          <w:szCs w:val="22"/>
          <w:lang w:val="en-US" w:eastAsia="en-US"/>
        </w:rPr>
        <w:t xml:space="preserve">Principle 2: Clear Objectives </w:t>
      </w:r>
    </w:p>
    <w:p w14:paraId="3B5347F7" w14:textId="77777777" w:rsidR="00456FC4" w:rsidRPr="00366CB8" w:rsidRDefault="00456FC4" w:rsidP="00CA2880">
      <w:pPr>
        <w:spacing w:line="240" w:lineRule="auto"/>
        <w:rPr>
          <w:rFonts w:cs="Arial"/>
          <w:sz w:val="22"/>
          <w:szCs w:val="22"/>
          <w:lang w:val="en-US" w:eastAsia="en-US"/>
        </w:rPr>
      </w:pPr>
    </w:p>
    <w:p w14:paraId="04FCACD8" w14:textId="77777777" w:rsidR="00456FC4" w:rsidRPr="00366CB8" w:rsidRDefault="00456FC4" w:rsidP="00CA2880">
      <w:pPr>
        <w:spacing w:line="240" w:lineRule="auto"/>
        <w:rPr>
          <w:rFonts w:cs="Arial"/>
          <w:i/>
          <w:sz w:val="22"/>
          <w:szCs w:val="22"/>
          <w:lang w:val="en-US" w:eastAsia="en-US"/>
        </w:rPr>
      </w:pPr>
      <w:r w:rsidRPr="00366CB8">
        <w:rPr>
          <w:rFonts w:cs="Arial"/>
          <w:i/>
          <w:sz w:val="22"/>
          <w:szCs w:val="22"/>
          <w:lang w:val="en-US" w:eastAsia="en-US"/>
        </w:rPr>
        <w:t>“Trustees should set out an overall investment objective(s) for the fund that takes account of the scheme’s liabilities, the strength of the sponsor covenant and the attitude to risk of both the trustees and the sponsor, and clearly communicate these to advisers and investment managers.”</w:t>
      </w:r>
    </w:p>
    <w:p w14:paraId="6C7F9356" w14:textId="77777777" w:rsidR="00456FC4" w:rsidRPr="00366CB8" w:rsidRDefault="00456FC4" w:rsidP="00CA2880">
      <w:pPr>
        <w:spacing w:line="240" w:lineRule="auto"/>
        <w:rPr>
          <w:rFonts w:cs="Arial"/>
          <w:sz w:val="22"/>
          <w:szCs w:val="22"/>
          <w:lang w:val="en-US" w:eastAsia="en-US"/>
        </w:rPr>
      </w:pPr>
    </w:p>
    <w:p w14:paraId="75444546" w14:textId="77777777" w:rsidR="009C14E4" w:rsidRPr="00366CB8" w:rsidRDefault="009C14E4" w:rsidP="000471AB">
      <w:pPr>
        <w:pStyle w:val="BodyText"/>
        <w:numPr>
          <w:ilvl w:val="0"/>
          <w:numId w:val="29"/>
        </w:numPr>
        <w:spacing w:after="0" w:line="240" w:lineRule="auto"/>
        <w:rPr>
          <w:sz w:val="22"/>
          <w:szCs w:val="22"/>
        </w:rPr>
      </w:pPr>
      <w:r w:rsidRPr="00366CB8">
        <w:rPr>
          <w:sz w:val="22"/>
          <w:szCs w:val="22"/>
        </w:rPr>
        <w:t xml:space="preserve">The Trustees have </w:t>
      </w:r>
      <w:r w:rsidR="00E6149E" w:rsidRPr="00366CB8">
        <w:rPr>
          <w:sz w:val="22"/>
          <w:szCs w:val="22"/>
        </w:rPr>
        <w:t xml:space="preserve">formally reviewed their investment objectives with the assistance of their </w:t>
      </w:r>
      <w:r w:rsidR="00E7499B">
        <w:rPr>
          <w:sz w:val="22"/>
          <w:szCs w:val="22"/>
        </w:rPr>
        <w:t>I</w:t>
      </w:r>
      <w:r w:rsidR="00E6149E" w:rsidRPr="00366CB8">
        <w:rPr>
          <w:sz w:val="22"/>
          <w:szCs w:val="22"/>
        </w:rPr>
        <w:t xml:space="preserve">nvestment </w:t>
      </w:r>
      <w:r w:rsidR="00E7499B">
        <w:rPr>
          <w:sz w:val="22"/>
          <w:szCs w:val="22"/>
        </w:rPr>
        <w:t>A</w:t>
      </w:r>
      <w:r w:rsidR="004D3753">
        <w:rPr>
          <w:sz w:val="22"/>
          <w:szCs w:val="22"/>
        </w:rPr>
        <w:t>dviser and the Scheme Actuary</w:t>
      </w:r>
      <w:r w:rsidRPr="00366CB8">
        <w:rPr>
          <w:sz w:val="22"/>
          <w:szCs w:val="22"/>
        </w:rPr>
        <w:t>.</w:t>
      </w:r>
    </w:p>
    <w:p w14:paraId="57227228" w14:textId="77777777" w:rsidR="00E6149E" w:rsidRPr="00366CB8" w:rsidRDefault="00E6149E" w:rsidP="00CA2880">
      <w:pPr>
        <w:pStyle w:val="BodyText"/>
        <w:spacing w:after="0" w:line="240" w:lineRule="auto"/>
        <w:rPr>
          <w:sz w:val="22"/>
          <w:szCs w:val="22"/>
        </w:rPr>
      </w:pPr>
    </w:p>
    <w:p w14:paraId="5F825FBE" w14:textId="77777777" w:rsidR="009C14E4" w:rsidRPr="00366CB8" w:rsidRDefault="00E6149E" w:rsidP="00CA2880">
      <w:pPr>
        <w:pStyle w:val="BodyText"/>
        <w:numPr>
          <w:ilvl w:val="0"/>
          <w:numId w:val="29"/>
        </w:numPr>
        <w:spacing w:after="0" w:line="240" w:lineRule="auto"/>
        <w:rPr>
          <w:sz w:val="22"/>
          <w:szCs w:val="22"/>
        </w:rPr>
      </w:pPr>
      <w:r w:rsidRPr="00366CB8">
        <w:rPr>
          <w:sz w:val="22"/>
          <w:szCs w:val="22"/>
        </w:rPr>
        <w:t>The investment objectives are explicitly stated in Section 3 of this document</w:t>
      </w:r>
      <w:r w:rsidR="009C14E4" w:rsidRPr="00366CB8">
        <w:rPr>
          <w:sz w:val="22"/>
          <w:szCs w:val="22"/>
        </w:rPr>
        <w:t>.</w:t>
      </w:r>
    </w:p>
    <w:p w14:paraId="279FD57D" w14:textId="77777777" w:rsidR="00E6149E" w:rsidRPr="00366CB8" w:rsidRDefault="00E6149E" w:rsidP="00CA2880">
      <w:pPr>
        <w:pStyle w:val="BodyText"/>
        <w:spacing w:after="0" w:line="240" w:lineRule="auto"/>
        <w:rPr>
          <w:sz w:val="22"/>
          <w:szCs w:val="22"/>
        </w:rPr>
      </w:pPr>
    </w:p>
    <w:p w14:paraId="39CDF19B" w14:textId="55FB6261" w:rsidR="00E6149E" w:rsidRPr="00366CB8" w:rsidRDefault="00E6149E" w:rsidP="00CA2880">
      <w:pPr>
        <w:pStyle w:val="BodyText"/>
        <w:numPr>
          <w:ilvl w:val="0"/>
          <w:numId w:val="29"/>
        </w:numPr>
        <w:spacing w:after="0" w:line="240" w:lineRule="auto"/>
        <w:rPr>
          <w:sz w:val="22"/>
          <w:szCs w:val="22"/>
        </w:rPr>
      </w:pPr>
      <w:r w:rsidRPr="00366CB8">
        <w:rPr>
          <w:sz w:val="22"/>
          <w:szCs w:val="22"/>
        </w:rPr>
        <w:t>The strength of the sponsor</w:t>
      </w:r>
      <w:r w:rsidR="00E7499B">
        <w:rPr>
          <w:sz w:val="22"/>
          <w:szCs w:val="22"/>
        </w:rPr>
        <w:t>ing employer</w:t>
      </w:r>
      <w:r w:rsidRPr="00366CB8">
        <w:rPr>
          <w:sz w:val="22"/>
          <w:szCs w:val="22"/>
        </w:rPr>
        <w:t xml:space="preserve">’s covenant is reviewed </w:t>
      </w:r>
      <w:r w:rsidR="00D5223C">
        <w:rPr>
          <w:sz w:val="22"/>
          <w:szCs w:val="22"/>
        </w:rPr>
        <w:t xml:space="preserve">no less frequently than </w:t>
      </w:r>
      <w:r w:rsidR="00FA007B">
        <w:rPr>
          <w:sz w:val="22"/>
          <w:szCs w:val="22"/>
        </w:rPr>
        <w:t>annually</w:t>
      </w:r>
      <w:r w:rsidRPr="00366CB8">
        <w:rPr>
          <w:sz w:val="22"/>
          <w:szCs w:val="22"/>
        </w:rPr>
        <w:t>.</w:t>
      </w:r>
    </w:p>
    <w:p w14:paraId="2CBA8EF1" w14:textId="77777777" w:rsidR="00E6149E" w:rsidRPr="00366CB8" w:rsidRDefault="00E6149E" w:rsidP="00CA2880">
      <w:pPr>
        <w:pStyle w:val="BodyText"/>
        <w:spacing w:after="0" w:line="240" w:lineRule="auto"/>
        <w:rPr>
          <w:sz w:val="22"/>
          <w:szCs w:val="22"/>
        </w:rPr>
      </w:pPr>
    </w:p>
    <w:p w14:paraId="0C0A7FE8" w14:textId="77777777" w:rsidR="00E6149E" w:rsidRPr="00366CB8" w:rsidRDefault="00E6149E" w:rsidP="00CA2880">
      <w:pPr>
        <w:pStyle w:val="BodyText"/>
        <w:numPr>
          <w:ilvl w:val="0"/>
          <w:numId w:val="29"/>
        </w:numPr>
        <w:spacing w:after="0" w:line="240" w:lineRule="auto"/>
        <w:rPr>
          <w:sz w:val="22"/>
          <w:szCs w:val="22"/>
        </w:rPr>
      </w:pPr>
      <w:r w:rsidRPr="00366CB8">
        <w:rPr>
          <w:sz w:val="22"/>
          <w:szCs w:val="22"/>
        </w:rPr>
        <w:t>All the assets of the Scheme are invested via pooled funds.  In each case, the fund manager has an explicit benchmark and outperformance target</w:t>
      </w:r>
      <w:r w:rsidR="00183C1D" w:rsidRPr="00366CB8">
        <w:rPr>
          <w:sz w:val="22"/>
          <w:szCs w:val="22"/>
        </w:rPr>
        <w:t xml:space="preserve"> where </w:t>
      </w:r>
      <w:r w:rsidR="00CC7E6C" w:rsidRPr="00366CB8">
        <w:rPr>
          <w:sz w:val="22"/>
          <w:szCs w:val="22"/>
        </w:rPr>
        <w:t>appropriate</w:t>
      </w:r>
      <w:r w:rsidRPr="00366CB8">
        <w:rPr>
          <w:sz w:val="22"/>
          <w:szCs w:val="22"/>
        </w:rPr>
        <w:t>, as well as clear constraints within which to operate.</w:t>
      </w:r>
    </w:p>
    <w:p w14:paraId="09D99E48" w14:textId="77777777" w:rsidR="007B39C5" w:rsidRPr="00366CB8" w:rsidRDefault="007B39C5" w:rsidP="00CA2880">
      <w:pPr>
        <w:pStyle w:val="BodyText"/>
        <w:spacing w:after="0" w:line="240" w:lineRule="auto"/>
        <w:rPr>
          <w:sz w:val="22"/>
          <w:szCs w:val="22"/>
        </w:rPr>
      </w:pPr>
    </w:p>
    <w:p w14:paraId="7C99F011" w14:textId="77777777" w:rsidR="00B91461" w:rsidRPr="00CC7E6C" w:rsidRDefault="00B91461" w:rsidP="00CA2880">
      <w:pPr>
        <w:pStyle w:val="BodyText"/>
        <w:spacing w:after="0" w:line="240" w:lineRule="auto"/>
        <w:rPr>
          <w:rFonts w:cs="Arial"/>
          <w:b/>
          <w:bCs/>
          <w:sz w:val="22"/>
          <w:szCs w:val="22"/>
        </w:rPr>
      </w:pPr>
      <w:r w:rsidRPr="00CC7E6C">
        <w:rPr>
          <w:rFonts w:cs="Arial"/>
          <w:b/>
          <w:bCs/>
          <w:sz w:val="22"/>
          <w:szCs w:val="22"/>
        </w:rPr>
        <w:t xml:space="preserve">Principle 3: Risk and Liabilities </w:t>
      </w:r>
    </w:p>
    <w:p w14:paraId="389BBA0E" w14:textId="77777777" w:rsidR="00B91461" w:rsidRPr="00CC7E6C" w:rsidRDefault="00B91461" w:rsidP="00CA2880">
      <w:pPr>
        <w:pStyle w:val="BodyText"/>
        <w:spacing w:after="0" w:line="240" w:lineRule="auto"/>
        <w:rPr>
          <w:rFonts w:cs="Arial"/>
          <w:b/>
          <w:bCs/>
          <w:sz w:val="22"/>
          <w:szCs w:val="22"/>
        </w:rPr>
      </w:pPr>
    </w:p>
    <w:p w14:paraId="493D8AEB" w14:textId="77777777" w:rsidR="009C14E4" w:rsidRPr="00CC7E6C" w:rsidRDefault="00E6149E" w:rsidP="00CA2880">
      <w:pPr>
        <w:pStyle w:val="BodyText"/>
        <w:spacing w:after="0" w:line="240" w:lineRule="auto"/>
        <w:rPr>
          <w:rFonts w:cs="Arial"/>
          <w:bCs/>
          <w:i/>
          <w:sz w:val="22"/>
          <w:szCs w:val="22"/>
        </w:rPr>
      </w:pPr>
      <w:r w:rsidRPr="00CC7E6C">
        <w:rPr>
          <w:rFonts w:cs="Arial"/>
          <w:bCs/>
          <w:i/>
          <w:sz w:val="22"/>
          <w:szCs w:val="22"/>
        </w:rPr>
        <w:t>“</w:t>
      </w:r>
      <w:r w:rsidR="00B91461" w:rsidRPr="00CC7E6C">
        <w:rPr>
          <w:rFonts w:cs="Arial"/>
          <w:bCs/>
          <w:i/>
          <w:sz w:val="22"/>
          <w:szCs w:val="22"/>
        </w:rPr>
        <w:t>In setting and reviewing their investment strategy, trustees should take account of the form and structure of liabilities. These include the strength of the sponsor covenant, the risk of sponsor default and longevity risk.</w:t>
      </w:r>
      <w:r w:rsidRPr="00CC7E6C">
        <w:rPr>
          <w:rFonts w:cs="Arial"/>
          <w:bCs/>
          <w:i/>
          <w:sz w:val="22"/>
          <w:szCs w:val="22"/>
        </w:rPr>
        <w:t>”</w:t>
      </w:r>
    </w:p>
    <w:p w14:paraId="59073F6C" w14:textId="77777777" w:rsidR="003A54D0" w:rsidRPr="00CC7E6C" w:rsidRDefault="003A54D0" w:rsidP="00CA2880">
      <w:pPr>
        <w:pStyle w:val="BodyText"/>
        <w:spacing w:after="0" w:line="240" w:lineRule="auto"/>
        <w:rPr>
          <w:rFonts w:cs="Arial"/>
          <w:bCs/>
          <w:i/>
          <w:sz w:val="22"/>
          <w:szCs w:val="22"/>
        </w:rPr>
      </w:pPr>
    </w:p>
    <w:p w14:paraId="0618FB36" w14:textId="6FF7D6F7" w:rsidR="00FA007B" w:rsidRDefault="003A54D0" w:rsidP="00FA007B">
      <w:pPr>
        <w:pStyle w:val="BodyText"/>
        <w:numPr>
          <w:ilvl w:val="0"/>
          <w:numId w:val="30"/>
        </w:numPr>
        <w:spacing w:after="0" w:line="240" w:lineRule="auto"/>
        <w:rPr>
          <w:rFonts w:cs="Arial"/>
          <w:bCs/>
          <w:sz w:val="22"/>
          <w:szCs w:val="22"/>
        </w:rPr>
      </w:pPr>
      <w:r w:rsidRPr="00CC7E6C">
        <w:rPr>
          <w:rFonts w:cs="Arial"/>
          <w:bCs/>
          <w:sz w:val="22"/>
          <w:szCs w:val="22"/>
        </w:rPr>
        <w:t xml:space="preserve">In </w:t>
      </w:r>
      <w:r w:rsidR="00FA007B">
        <w:rPr>
          <w:rFonts w:cs="Arial"/>
          <w:bCs/>
          <w:sz w:val="22"/>
          <w:szCs w:val="22"/>
        </w:rPr>
        <w:t>setting</w:t>
      </w:r>
      <w:r w:rsidRPr="00CC7E6C">
        <w:rPr>
          <w:rFonts w:cs="Arial"/>
          <w:bCs/>
          <w:sz w:val="22"/>
          <w:szCs w:val="22"/>
        </w:rPr>
        <w:t xml:space="preserve"> the investment strategy, the </w:t>
      </w:r>
      <w:r w:rsidR="00175242" w:rsidRPr="00CC7E6C">
        <w:rPr>
          <w:rFonts w:cs="Arial"/>
          <w:bCs/>
          <w:sz w:val="22"/>
          <w:szCs w:val="22"/>
        </w:rPr>
        <w:t xml:space="preserve">Trustees </w:t>
      </w:r>
      <w:r w:rsidR="00FA007B">
        <w:rPr>
          <w:rFonts w:cs="Arial"/>
          <w:bCs/>
          <w:sz w:val="22"/>
          <w:szCs w:val="22"/>
        </w:rPr>
        <w:t xml:space="preserve">have decided to divide the assets into a Growth Fund and an Income Fund, which are approximately equal. </w:t>
      </w:r>
      <w:r w:rsidR="000026ED">
        <w:rPr>
          <w:rFonts w:cs="Arial"/>
          <w:bCs/>
          <w:sz w:val="22"/>
          <w:szCs w:val="22"/>
        </w:rPr>
        <w:t>53</w:t>
      </w:r>
      <w:r w:rsidR="007D75D1">
        <w:rPr>
          <w:rFonts w:cs="Arial"/>
          <w:bCs/>
          <w:sz w:val="22"/>
          <w:szCs w:val="22"/>
        </w:rPr>
        <w:t>% of fund assets are invested in equities, 4</w:t>
      </w:r>
      <w:r w:rsidR="000026ED">
        <w:rPr>
          <w:rFonts w:cs="Arial"/>
          <w:bCs/>
          <w:sz w:val="22"/>
          <w:szCs w:val="22"/>
        </w:rPr>
        <w:t>2</w:t>
      </w:r>
      <w:r w:rsidR="007D75D1">
        <w:rPr>
          <w:rFonts w:cs="Arial"/>
          <w:bCs/>
          <w:sz w:val="22"/>
          <w:szCs w:val="22"/>
        </w:rPr>
        <w:t xml:space="preserve">% in bonds and cash, and </w:t>
      </w:r>
      <w:r w:rsidR="000026ED">
        <w:rPr>
          <w:rFonts w:cs="Arial"/>
          <w:bCs/>
          <w:sz w:val="22"/>
          <w:szCs w:val="22"/>
        </w:rPr>
        <w:t>5</w:t>
      </w:r>
      <w:r w:rsidR="007D75D1">
        <w:rPr>
          <w:rFonts w:cs="Arial"/>
          <w:bCs/>
          <w:sz w:val="22"/>
          <w:szCs w:val="22"/>
        </w:rPr>
        <w:t xml:space="preserve">% in other asset classes. </w:t>
      </w:r>
      <w:r w:rsidR="00FA007B">
        <w:rPr>
          <w:rFonts w:cs="Arial"/>
          <w:bCs/>
          <w:sz w:val="22"/>
          <w:szCs w:val="22"/>
        </w:rPr>
        <w:t xml:space="preserve">Pensioner liabilities account for approximately </w:t>
      </w:r>
      <w:r w:rsidR="00674BBC">
        <w:rPr>
          <w:rFonts w:cs="Arial"/>
          <w:bCs/>
          <w:sz w:val="22"/>
          <w:szCs w:val="22"/>
        </w:rPr>
        <w:t>8</w:t>
      </w:r>
      <w:r w:rsidR="00362DEE">
        <w:rPr>
          <w:rFonts w:cs="Arial"/>
          <w:bCs/>
          <w:sz w:val="22"/>
          <w:szCs w:val="22"/>
        </w:rPr>
        <w:t>0</w:t>
      </w:r>
      <w:r w:rsidR="00674BBC">
        <w:rPr>
          <w:rFonts w:cs="Arial"/>
          <w:bCs/>
          <w:sz w:val="22"/>
          <w:szCs w:val="22"/>
        </w:rPr>
        <w:t xml:space="preserve"> </w:t>
      </w:r>
      <w:r w:rsidR="00FA007B">
        <w:rPr>
          <w:rFonts w:cs="Arial"/>
          <w:bCs/>
          <w:sz w:val="22"/>
          <w:szCs w:val="22"/>
        </w:rPr>
        <w:t xml:space="preserve">% of </w:t>
      </w:r>
      <w:r w:rsidR="00674BBC">
        <w:rPr>
          <w:rFonts w:cs="Arial"/>
          <w:bCs/>
          <w:sz w:val="22"/>
          <w:szCs w:val="22"/>
        </w:rPr>
        <w:t xml:space="preserve">DB </w:t>
      </w:r>
      <w:r w:rsidR="00FA007B">
        <w:rPr>
          <w:rFonts w:cs="Arial"/>
          <w:bCs/>
          <w:sz w:val="22"/>
          <w:szCs w:val="22"/>
        </w:rPr>
        <w:t>liabilities</w:t>
      </w:r>
      <w:r w:rsidR="00674BBC">
        <w:rPr>
          <w:rFonts w:cs="Arial"/>
          <w:bCs/>
          <w:sz w:val="22"/>
          <w:szCs w:val="22"/>
        </w:rPr>
        <w:t xml:space="preserve"> and </w:t>
      </w:r>
      <w:r w:rsidR="00362DEE">
        <w:rPr>
          <w:rFonts w:cs="Arial"/>
          <w:bCs/>
          <w:sz w:val="22"/>
          <w:szCs w:val="22"/>
        </w:rPr>
        <w:t>54</w:t>
      </w:r>
      <w:r w:rsidR="00674BBC">
        <w:rPr>
          <w:rFonts w:cs="Arial"/>
          <w:bCs/>
          <w:sz w:val="22"/>
          <w:szCs w:val="22"/>
        </w:rPr>
        <w:t>% of total liabilities, including DC members</w:t>
      </w:r>
      <w:r w:rsidR="007D75D1">
        <w:rPr>
          <w:rFonts w:cs="Arial"/>
          <w:bCs/>
          <w:sz w:val="22"/>
          <w:szCs w:val="22"/>
        </w:rPr>
        <w:t xml:space="preserve">. The Trustees consider that it is reasonable to fund a proportion of pensioner liabilities </w:t>
      </w:r>
      <w:r w:rsidR="000471AB">
        <w:rPr>
          <w:rFonts w:cs="Arial"/>
          <w:bCs/>
          <w:sz w:val="22"/>
          <w:szCs w:val="22"/>
        </w:rPr>
        <w:t>from growth assets.</w:t>
      </w:r>
    </w:p>
    <w:p w14:paraId="076A0C74" w14:textId="77777777" w:rsidR="007D75D1" w:rsidRPr="00CC7E6C" w:rsidRDefault="007D75D1" w:rsidP="007D75D1">
      <w:pPr>
        <w:pStyle w:val="BodyText"/>
        <w:spacing w:after="0" w:line="240" w:lineRule="auto"/>
        <w:ind w:left="360"/>
        <w:rPr>
          <w:rFonts w:cs="Arial"/>
          <w:bCs/>
          <w:sz w:val="22"/>
          <w:szCs w:val="22"/>
        </w:rPr>
      </w:pPr>
    </w:p>
    <w:p w14:paraId="7EF8F8ED" w14:textId="6F959C67" w:rsidR="007B39C5" w:rsidRPr="00674BBC" w:rsidRDefault="007D75D1" w:rsidP="00943DA0">
      <w:pPr>
        <w:pStyle w:val="BodyText"/>
        <w:numPr>
          <w:ilvl w:val="0"/>
          <w:numId w:val="30"/>
        </w:numPr>
        <w:spacing w:after="0" w:line="240" w:lineRule="auto"/>
        <w:rPr>
          <w:rFonts w:cs="Arial"/>
          <w:bCs/>
          <w:sz w:val="22"/>
          <w:szCs w:val="22"/>
        </w:rPr>
      </w:pPr>
      <w:r w:rsidRPr="00674BBC">
        <w:rPr>
          <w:rFonts w:cs="Arial"/>
          <w:bCs/>
          <w:sz w:val="22"/>
          <w:szCs w:val="22"/>
        </w:rPr>
        <w:lastRenderedPageBreak/>
        <w:t>A detailed review of the strength of the sponsor covenant has been undertaken</w:t>
      </w:r>
      <w:r w:rsidR="00674BBC">
        <w:rPr>
          <w:rFonts w:cs="Arial"/>
          <w:bCs/>
          <w:sz w:val="22"/>
          <w:szCs w:val="22"/>
        </w:rPr>
        <w:t xml:space="preserve"> prior to completion of the 2019 actuarial valuation</w:t>
      </w:r>
      <w:r w:rsidRPr="00674BBC">
        <w:rPr>
          <w:rFonts w:cs="Arial"/>
          <w:bCs/>
          <w:sz w:val="22"/>
          <w:szCs w:val="22"/>
        </w:rPr>
        <w:t xml:space="preserve">. </w:t>
      </w:r>
      <w:r w:rsidR="00674BBC">
        <w:rPr>
          <w:rFonts w:cs="Arial"/>
          <w:bCs/>
          <w:sz w:val="22"/>
          <w:szCs w:val="22"/>
        </w:rPr>
        <w:t>The covenant has weakened materially during the Maltings development project but will return to strong once the building has been let and resold.</w:t>
      </w:r>
    </w:p>
    <w:p w14:paraId="0A356815" w14:textId="77777777" w:rsidR="00FD5119" w:rsidRDefault="00FD5119" w:rsidP="00CA2880">
      <w:pPr>
        <w:pStyle w:val="BodyText"/>
        <w:spacing w:after="0" w:line="240" w:lineRule="auto"/>
        <w:rPr>
          <w:rFonts w:cs="Arial"/>
          <w:b/>
          <w:iCs/>
          <w:sz w:val="22"/>
          <w:szCs w:val="22"/>
        </w:rPr>
      </w:pPr>
    </w:p>
    <w:p w14:paraId="30729FBF" w14:textId="49CAF568" w:rsidR="00B91461" w:rsidRPr="00CC7E6C" w:rsidRDefault="00B91461" w:rsidP="00CA2880">
      <w:pPr>
        <w:pStyle w:val="BodyText"/>
        <w:spacing w:after="0" w:line="240" w:lineRule="auto"/>
        <w:rPr>
          <w:rFonts w:cs="Arial"/>
          <w:b/>
          <w:iCs/>
          <w:sz w:val="22"/>
          <w:szCs w:val="22"/>
        </w:rPr>
      </w:pPr>
      <w:r w:rsidRPr="00CC7E6C">
        <w:rPr>
          <w:rFonts w:cs="Arial"/>
          <w:b/>
          <w:iCs/>
          <w:sz w:val="22"/>
          <w:szCs w:val="22"/>
        </w:rPr>
        <w:t xml:space="preserve">Principle 4: Performance Assessment </w:t>
      </w:r>
    </w:p>
    <w:p w14:paraId="386741C5" w14:textId="77777777" w:rsidR="003A54D0" w:rsidRPr="00CC7E6C" w:rsidRDefault="003A54D0" w:rsidP="00CA2880">
      <w:pPr>
        <w:pStyle w:val="BodyText"/>
        <w:spacing w:after="0" w:line="240" w:lineRule="auto"/>
        <w:rPr>
          <w:rFonts w:cs="Arial"/>
          <w:i/>
          <w:iCs/>
          <w:sz w:val="22"/>
          <w:szCs w:val="22"/>
        </w:rPr>
      </w:pPr>
    </w:p>
    <w:p w14:paraId="6C53052B" w14:textId="77777777" w:rsidR="00B91461" w:rsidRPr="00CC7E6C" w:rsidRDefault="00175242" w:rsidP="00CA2880">
      <w:pPr>
        <w:pStyle w:val="BodyText"/>
        <w:spacing w:after="0" w:line="240" w:lineRule="auto"/>
        <w:rPr>
          <w:rFonts w:cs="Arial"/>
          <w:i/>
          <w:iCs/>
          <w:sz w:val="22"/>
          <w:szCs w:val="22"/>
        </w:rPr>
      </w:pPr>
      <w:r w:rsidRPr="00CC7E6C">
        <w:rPr>
          <w:rFonts w:cs="Arial"/>
          <w:i/>
          <w:iCs/>
          <w:sz w:val="22"/>
          <w:szCs w:val="22"/>
        </w:rPr>
        <w:t>“</w:t>
      </w:r>
      <w:r w:rsidR="00B91461" w:rsidRPr="00CC7E6C">
        <w:rPr>
          <w:rFonts w:cs="Arial"/>
          <w:i/>
          <w:iCs/>
          <w:sz w:val="22"/>
          <w:szCs w:val="22"/>
        </w:rPr>
        <w:t>Trustees should arrange for the formal measurement of the performance of the investments, investment managers and advisors. Trustees should also periodically make a formal policy assessment of their own effectiveness as a decision-making body and report on this to scheme members.</w:t>
      </w:r>
      <w:r w:rsidRPr="00CC7E6C">
        <w:rPr>
          <w:rFonts w:cs="Arial"/>
          <w:i/>
          <w:iCs/>
          <w:sz w:val="22"/>
          <w:szCs w:val="22"/>
        </w:rPr>
        <w:t>”</w:t>
      </w:r>
    </w:p>
    <w:p w14:paraId="47FA4452" w14:textId="77777777" w:rsidR="00175242" w:rsidRPr="00CC7E6C" w:rsidRDefault="00175242" w:rsidP="00CA2880">
      <w:pPr>
        <w:pStyle w:val="BodyText"/>
        <w:spacing w:after="0" w:line="240" w:lineRule="auto"/>
        <w:rPr>
          <w:rFonts w:cs="Arial"/>
          <w:sz w:val="22"/>
          <w:szCs w:val="22"/>
        </w:rPr>
      </w:pPr>
    </w:p>
    <w:p w14:paraId="671BE7CF" w14:textId="6684DFB9" w:rsidR="00175242" w:rsidRDefault="007D75D1" w:rsidP="00CA2880">
      <w:pPr>
        <w:pStyle w:val="BodyText"/>
        <w:numPr>
          <w:ilvl w:val="0"/>
          <w:numId w:val="31"/>
        </w:numPr>
        <w:spacing w:after="0" w:line="240" w:lineRule="auto"/>
        <w:rPr>
          <w:rFonts w:cs="Arial"/>
          <w:sz w:val="22"/>
          <w:szCs w:val="22"/>
        </w:rPr>
      </w:pPr>
      <w:r w:rsidRPr="007D75D1">
        <w:rPr>
          <w:rFonts w:cs="Arial"/>
          <w:sz w:val="22"/>
          <w:szCs w:val="22"/>
        </w:rPr>
        <w:t>The Trustees currently receive monthly</w:t>
      </w:r>
      <w:r w:rsidR="0045780E" w:rsidRPr="007D75D1">
        <w:rPr>
          <w:rFonts w:cs="Arial"/>
          <w:sz w:val="22"/>
          <w:szCs w:val="22"/>
        </w:rPr>
        <w:t xml:space="preserve"> </w:t>
      </w:r>
      <w:r w:rsidRPr="007D75D1">
        <w:rPr>
          <w:rFonts w:cs="Arial"/>
          <w:sz w:val="22"/>
          <w:szCs w:val="22"/>
        </w:rPr>
        <w:t xml:space="preserve">reports </w:t>
      </w:r>
      <w:r w:rsidR="00674BBC">
        <w:rPr>
          <w:rFonts w:cs="Arial"/>
          <w:sz w:val="22"/>
          <w:szCs w:val="22"/>
        </w:rPr>
        <w:t xml:space="preserve">of the value of the funds and review the performance of the funds with the Investment Adviser </w:t>
      </w:r>
      <w:r w:rsidR="00D87FF5">
        <w:rPr>
          <w:rFonts w:cs="Arial"/>
          <w:sz w:val="22"/>
          <w:szCs w:val="22"/>
        </w:rPr>
        <w:t>twice a year.</w:t>
      </w:r>
    </w:p>
    <w:p w14:paraId="3498F13A" w14:textId="77777777" w:rsidR="007D75D1" w:rsidRPr="007D75D1" w:rsidRDefault="007D75D1" w:rsidP="007D75D1">
      <w:pPr>
        <w:pStyle w:val="BodyText"/>
        <w:spacing w:after="0" w:line="240" w:lineRule="auto"/>
        <w:ind w:left="360"/>
        <w:rPr>
          <w:rFonts w:cs="Arial"/>
          <w:sz w:val="22"/>
          <w:szCs w:val="22"/>
        </w:rPr>
      </w:pPr>
    </w:p>
    <w:p w14:paraId="6A6B0FAA" w14:textId="6FA65559" w:rsidR="00175242" w:rsidRPr="00CC7E6C" w:rsidRDefault="00175242" w:rsidP="00CA2880">
      <w:pPr>
        <w:pStyle w:val="BodyText"/>
        <w:numPr>
          <w:ilvl w:val="0"/>
          <w:numId w:val="30"/>
        </w:numPr>
        <w:spacing w:after="0" w:line="240" w:lineRule="auto"/>
        <w:rPr>
          <w:rFonts w:cs="Arial"/>
          <w:color w:val="FF0000"/>
          <w:sz w:val="22"/>
          <w:szCs w:val="22"/>
        </w:rPr>
      </w:pPr>
      <w:r w:rsidRPr="000B2AFC">
        <w:rPr>
          <w:rFonts w:cs="Arial"/>
          <w:bCs/>
          <w:sz w:val="22"/>
          <w:szCs w:val="22"/>
        </w:rPr>
        <w:t xml:space="preserve">The investment </w:t>
      </w:r>
      <w:r w:rsidR="00D87FF5">
        <w:rPr>
          <w:rFonts w:cs="Arial"/>
          <w:bCs/>
          <w:sz w:val="22"/>
          <w:szCs w:val="22"/>
        </w:rPr>
        <w:t>review</w:t>
      </w:r>
      <w:r w:rsidRPr="000B2AFC">
        <w:rPr>
          <w:rFonts w:cs="Arial"/>
          <w:bCs/>
          <w:sz w:val="22"/>
          <w:szCs w:val="22"/>
        </w:rPr>
        <w:t xml:space="preserve"> include</w:t>
      </w:r>
      <w:r w:rsidR="00D87FF5">
        <w:rPr>
          <w:rFonts w:cs="Arial"/>
          <w:bCs/>
          <w:sz w:val="22"/>
          <w:szCs w:val="22"/>
        </w:rPr>
        <w:t>s</w:t>
      </w:r>
      <w:r w:rsidRPr="000B2AFC">
        <w:rPr>
          <w:rFonts w:cs="Arial"/>
          <w:bCs/>
          <w:sz w:val="22"/>
          <w:szCs w:val="22"/>
        </w:rPr>
        <w:t xml:space="preserve"> an assessment of </w:t>
      </w:r>
      <w:r w:rsidR="0045780E" w:rsidRPr="000B2AFC">
        <w:rPr>
          <w:rFonts w:cs="Arial"/>
          <w:bCs/>
          <w:sz w:val="22"/>
          <w:szCs w:val="22"/>
        </w:rPr>
        <w:t xml:space="preserve">how successful the </w:t>
      </w:r>
      <w:r w:rsidR="00D87FF5">
        <w:rPr>
          <w:rFonts w:cs="Arial"/>
          <w:bCs/>
          <w:sz w:val="22"/>
          <w:szCs w:val="22"/>
        </w:rPr>
        <w:t>T</w:t>
      </w:r>
      <w:r w:rsidR="0045780E" w:rsidRPr="000B2AFC">
        <w:rPr>
          <w:rFonts w:cs="Arial"/>
          <w:bCs/>
          <w:sz w:val="22"/>
          <w:szCs w:val="22"/>
        </w:rPr>
        <w:t xml:space="preserve">rustees’ investment strategy has been in improving the funding position of the </w:t>
      </w:r>
      <w:r w:rsidR="005801F4" w:rsidRPr="000B2AFC">
        <w:rPr>
          <w:rFonts w:cs="Arial"/>
          <w:bCs/>
          <w:sz w:val="22"/>
          <w:szCs w:val="22"/>
        </w:rPr>
        <w:t>S</w:t>
      </w:r>
      <w:r w:rsidR="0045780E" w:rsidRPr="000B2AFC">
        <w:rPr>
          <w:rFonts w:cs="Arial"/>
          <w:bCs/>
          <w:sz w:val="22"/>
          <w:szCs w:val="22"/>
        </w:rPr>
        <w:t xml:space="preserve">cheme.  </w:t>
      </w:r>
      <w:r w:rsidR="0045780E" w:rsidRPr="00CC7E6C">
        <w:rPr>
          <w:rFonts w:cs="Arial"/>
          <w:bCs/>
          <w:color w:val="FF0000"/>
          <w:sz w:val="22"/>
          <w:szCs w:val="22"/>
        </w:rPr>
        <w:t xml:space="preserve">  </w:t>
      </w:r>
    </w:p>
    <w:p w14:paraId="2844E58B" w14:textId="77777777" w:rsidR="00B91461" w:rsidRPr="00CC7E6C" w:rsidRDefault="00B91461" w:rsidP="00CA2880">
      <w:pPr>
        <w:pStyle w:val="BodyText"/>
        <w:spacing w:after="0" w:line="240" w:lineRule="auto"/>
        <w:rPr>
          <w:rFonts w:cs="Arial"/>
          <w:i/>
          <w:iCs/>
          <w:sz w:val="22"/>
          <w:szCs w:val="22"/>
        </w:rPr>
      </w:pPr>
    </w:p>
    <w:p w14:paraId="7626D7D7" w14:textId="77777777" w:rsidR="00B91461" w:rsidRPr="00CC7E6C" w:rsidRDefault="00B91461" w:rsidP="00CA2880">
      <w:pPr>
        <w:pStyle w:val="BodyText"/>
        <w:spacing w:after="0" w:line="240" w:lineRule="auto"/>
        <w:rPr>
          <w:rFonts w:cs="Arial"/>
          <w:b/>
          <w:iCs/>
          <w:sz w:val="22"/>
          <w:szCs w:val="22"/>
        </w:rPr>
      </w:pPr>
      <w:r w:rsidRPr="00CC7E6C">
        <w:rPr>
          <w:rFonts w:cs="Arial"/>
          <w:b/>
          <w:iCs/>
          <w:sz w:val="22"/>
          <w:szCs w:val="22"/>
        </w:rPr>
        <w:t xml:space="preserve">Principle 5: Responsible Ownership </w:t>
      </w:r>
    </w:p>
    <w:p w14:paraId="4B3344D9" w14:textId="77777777" w:rsidR="003A54D0" w:rsidRPr="00CC7E6C" w:rsidRDefault="003A54D0" w:rsidP="00CA2880">
      <w:pPr>
        <w:pStyle w:val="BodyText"/>
        <w:spacing w:after="0" w:line="240" w:lineRule="auto"/>
        <w:rPr>
          <w:rFonts w:cs="Arial"/>
          <w:i/>
          <w:iCs/>
          <w:sz w:val="22"/>
          <w:szCs w:val="22"/>
        </w:rPr>
      </w:pPr>
    </w:p>
    <w:p w14:paraId="08E5087C" w14:textId="77777777" w:rsidR="00B91461" w:rsidRPr="00CC7E6C" w:rsidRDefault="0045780E" w:rsidP="00CA2880">
      <w:pPr>
        <w:pStyle w:val="BodyText"/>
        <w:spacing w:after="0" w:line="240" w:lineRule="auto"/>
        <w:rPr>
          <w:rFonts w:cs="Arial"/>
          <w:i/>
          <w:iCs/>
          <w:sz w:val="22"/>
          <w:szCs w:val="22"/>
        </w:rPr>
      </w:pPr>
      <w:r w:rsidRPr="00CC7E6C">
        <w:rPr>
          <w:rFonts w:cs="Arial"/>
          <w:i/>
          <w:iCs/>
          <w:sz w:val="22"/>
          <w:szCs w:val="22"/>
        </w:rPr>
        <w:t>“</w:t>
      </w:r>
      <w:r w:rsidR="00B91461" w:rsidRPr="00CC7E6C">
        <w:rPr>
          <w:rFonts w:cs="Arial"/>
          <w:i/>
          <w:iCs/>
          <w:sz w:val="22"/>
          <w:szCs w:val="22"/>
        </w:rPr>
        <w:t>Trustees should adopt, or ensure their investment managers adopt, the Institutional Shareholders’ Committee (ISC) Statement of Principles on the responsibilities of shareholders and agents. A statement of the scheme’s policy on responsible ownership should be included in the Statement of Investment Principles. Trustees should report periodically to members on the discharge of such responsibilities.</w:t>
      </w:r>
      <w:r w:rsidRPr="00CC7E6C">
        <w:rPr>
          <w:rFonts w:cs="Arial"/>
          <w:i/>
          <w:iCs/>
          <w:sz w:val="22"/>
          <w:szCs w:val="22"/>
        </w:rPr>
        <w:t>”</w:t>
      </w:r>
    </w:p>
    <w:p w14:paraId="558333BE" w14:textId="77777777" w:rsidR="00C45D38" w:rsidRPr="00CC7E6C" w:rsidRDefault="00C45D38" w:rsidP="00CA2880">
      <w:pPr>
        <w:pStyle w:val="BodyText"/>
        <w:spacing w:after="0" w:line="240" w:lineRule="auto"/>
        <w:rPr>
          <w:rFonts w:cs="Arial"/>
          <w:i/>
          <w:iCs/>
          <w:sz w:val="22"/>
          <w:szCs w:val="22"/>
        </w:rPr>
      </w:pPr>
    </w:p>
    <w:p w14:paraId="2564F0CB" w14:textId="77777777" w:rsidR="002931BB" w:rsidRDefault="002931BB" w:rsidP="00CA2880">
      <w:pPr>
        <w:pStyle w:val="BodyText"/>
        <w:numPr>
          <w:ilvl w:val="0"/>
          <w:numId w:val="31"/>
        </w:numPr>
        <w:spacing w:after="0" w:line="240" w:lineRule="auto"/>
        <w:rPr>
          <w:rFonts w:cs="Arial"/>
          <w:iCs/>
          <w:sz w:val="22"/>
          <w:szCs w:val="22"/>
        </w:rPr>
      </w:pPr>
      <w:r w:rsidRPr="00CC7E6C">
        <w:rPr>
          <w:rFonts w:cs="Arial"/>
          <w:iCs/>
          <w:sz w:val="22"/>
          <w:szCs w:val="22"/>
        </w:rPr>
        <w:t>The Trustees’ policy on responsible own</w:t>
      </w:r>
      <w:r w:rsidR="00334C6D">
        <w:rPr>
          <w:rFonts w:cs="Arial"/>
          <w:iCs/>
          <w:sz w:val="22"/>
          <w:szCs w:val="22"/>
        </w:rPr>
        <w:t>ership is described in Section 3</w:t>
      </w:r>
      <w:r w:rsidRPr="00CC7E6C">
        <w:rPr>
          <w:rFonts w:cs="Arial"/>
          <w:iCs/>
          <w:sz w:val="22"/>
          <w:szCs w:val="22"/>
        </w:rPr>
        <w:t xml:space="preserve"> of this Statement of Investment Principles.</w:t>
      </w:r>
      <w:r w:rsidR="00CC7E6C">
        <w:rPr>
          <w:rFonts w:cs="Arial"/>
          <w:iCs/>
          <w:sz w:val="22"/>
          <w:szCs w:val="22"/>
        </w:rPr>
        <w:t xml:space="preserve">  </w:t>
      </w:r>
    </w:p>
    <w:p w14:paraId="2C765D63" w14:textId="77777777" w:rsidR="007D75D1" w:rsidRDefault="007D75D1" w:rsidP="00CA2880">
      <w:pPr>
        <w:spacing w:line="240" w:lineRule="auto"/>
        <w:rPr>
          <w:rFonts w:eastAsia="MS Mincho" w:cs="Arial"/>
          <w:b/>
          <w:bCs/>
          <w:sz w:val="22"/>
          <w:szCs w:val="22"/>
          <w:lang w:val="en-US" w:eastAsia="en-US"/>
        </w:rPr>
      </w:pPr>
    </w:p>
    <w:p w14:paraId="53E956EF" w14:textId="77777777" w:rsidR="00B91461" w:rsidRPr="00CC7E6C" w:rsidRDefault="00B91461" w:rsidP="00CA2880">
      <w:pPr>
        <w:spacing w:line="240" w:lineRule="auto"/>
        <w:rPr>
          <w:rFonts w:eastAsia="MS Mincho" w:cs="Arial"/>
          <w:b/>
          <w:bCs/>
          <w:sz w:val="22"/>
          <w:szCs w:val="22"/>
          <w:lang w:val="en-US" w:eastAsia="en-US"/>
        </w:rPr>
      </w:pPr>
      <w:r w:rsidRPr="00CC7E6C">
        <w:rPr>
          <w:rFonts w:eastAsia="MS Mincho" w:cs="Arial"/>
          <w:b/>
          <w:bCs/>
          <w:sz w:val="22"/>
          <w:szCs w:val="22"/>
          <w:lang w:val="en-US" w:eastAsia="en-US"/>
        </w:rPr>
        <w:t>Principle 6: Transparency and Reporting</w:t>
      </w:r>
    </w:p>
    <w:p w14:paraId="39B902F7" w14:textId="77777777" w:rsidR="000C0CF2" w:rsidRPr="00CC7E6C" w:rsidRDefault="000C0CF2" w:rsidP="00CA2880">
      <w:pPr>
        <w:spacing w:line="240" w:lineRule="auto"/>
        <w:rPr>
          <w:rFonts w:eastAsia="MS Mincho" w:cs="Arial"/>
          <w:sz w:val="22"/>
          <w:szCs w:val="22"/>
          <w:lang w:val="en-US" w:eastAsia="en-US"/>
        </w:rPr>
      </w:pPr>
    </w:p>
    <w:p w14:paraId="09B3860A" w14:textId="77777777" w:rsidR="00B91461" w:rsidRPr="00CC7E6C" w:rsidRDefault="000C0CF2" w:rsidP="00CA2880">
      <w:pPr>
        <w:spacing w:line="240" w:lineRule="auto"/>
        <w:rPr>
          <w:rFonts w:eastAsia="MS Mincho" w:cs="Arial"/>
          <w:i/>
          <w:sz w:val="22"/>
          <w:szCs w:val="22"/>
          <w:lang w:val="en-US" w:eastAsia="en-US"/>
        </w:rPr>
      </w:pPr>
      <w:r w:rsidRPr="00CC7E6C">
        <w:rPr>
          <w:rFonts w:eastAsia="MS Mincho" w:cs="Arial"/>
          <w:i/>
          <w:sz w:val="22"/>
          <w:szCs w:val="22"/>
          <w:lang w:val="en-US" w:eastAsia="en-US"/>
        </w:rPr>
        <w:t>“</w:t>
      </w:r>
      <w:r w:rsidR="00B91461" w:rsidRPr="00CC7E6C">
        <w:rPr>
          <w:rFonts w:eastAsia="MS Mincho" w:cs="Arial"/>
          <w:i/>
          <w:sz w:val="22"/>
          <w:szCs w:val="22"/>
          <w:lang w:val="en-US" w:eastAsia="en-US"/>
        </w:rPr>
        <w:t>Trustees should act in a transparent manner, communicating with stakeholders on issues relating to their management of investment, its governance and risks, including performance against stated objectives.</w:t>
      </w:r>
    </w:p>
    <w:p w14:paraId="4729EBF9" w14:textId="77777777" w:rsidR="000C0CF2" w:rsidRPr="00CC7E6C" w:rsidRDefault="000C0CF2" w:rsidP="00CA2880">
      <w:pPr>
        <w:spacing w:line="240" w:lineRule="auto"/>
        <w:rPr>
          <w:rFonts w:eastAsia="MS Mincho" w:cs="Arial"/>
          <w:i/>
          <w:sz w:val="22"/>
          <w:szCs w:val="22"/>
          <w:lang w:val="en-US" w:eastAsia="en-US"/>
        </w:rPr>
      </w:pPr>
    </w:p>
    <w:p w14:paraId="2E4E8E18" w14:textId="77777777" w:rsidR="00B91461" w:rsidRPr="00CC7E6C" w:rsidRDefault="00B91461" w:rsidP="00CA2880">
      <w:pPr>
        <w:spacing w:line="240" w:lineRule="auto"/>
        <w:rPr>
          <w:rFonts w:eastAsia="MS Mincho" w:cs="Arial"/>
          <w:i/>
          <w:sz w:val="22"/>
          <w:szCs w:val="22"/>
          <w:lang w:val="en-US" w:eastAsia="en-US"/>
        </w:rPr>
      </w:pPr>
      <w:r w:rsidRPr="00CC7E6C">
        <w:rPr>
          <w:rFonts w:eastAsia="MS Mincho" w:cs="Arial"/>
          <w:i/>
          <w:sz w:val="22"/>
          <w:szCs w:val="22"/>
          <w:lang w:val="en-US" w:eastAsia="en-US"/>
        </w:rPr>
        <w:t>Trustees should provide regular communication to members in the form they consider most appropriate.</w:t>
      </w:r>
      <w:r w:rsidR="000C0CF2" w:rsidRPr="00CC7E6C">
        <w:rPr>
          <w:rFonts w:eastAsia="MS Mincho" w:cs="Arial"/>
          <w:i/>
          <w:sz w:val="22"/>
          <w:szCs w:val="22"/>
          <w:lang w:val="en-US" w:eastAsia="en-US"/>
        </w:rPr>
        <w:t>”</w:t>
      </w:r>
    </w:p>
    <w:p w14:paraId="16ADF202" w14:textId="77777777" w:rsidR="002931BB" w:rsidRPr="00CC7E6C" w:rsidRDefault="002931BB" w:rsidP="00CA2880">
      <w:pPr>
        <w:spacing w:line="240" w:lineRule="auto"/>
        <w:rPr>
          <w:rFonts w:eastAsia="MS Mincho" w:cs="Arial"/>
          <w:i/>
          <w:sz w:val="22"/>
          <w:szCs w:val="22"/>
          <w:lang w:val="en-US" w:eastAsia="en-US"/>
        </w:rPr>
      </w:pPr>
    </w:p>
    <w:p w14:paraId="2A29EE8D" w14:textId="31077BDF" w:rsidR="002931BB" w:rsidRPr="00CC7E6C" w:rsidRDefault="008F3A9B" w:rsidP="00CA2880">
      <w:pPr>
        <w:numPr>
          <w:ilvl w:val="0"/>
          <w:numId w:val="45"/>
        </w:numPr>
        <w:spacing w:line="240" w:lineRule="auto"/>
        <w:rPr>
          <w:rFonts w:eastAsia="MS Mincho" w:cs="Arial"/>
          <w:sz w:val="22"/>
          <w:szCs w:val="22"/>
          <w:lang w:val="en-US" w:eastAsia="en-US"/>
        </w:rPr>
      </w:pPr>
      <w:r w:rsidRPr="00CC7E6C">
        <w:rPr>
          <w:rFonts w:eastAsia="MS Mincho" w:cs="Arial"/>
          <w:sz w:val="22"/>
          <w:szCs w:val="22"/>
          <w:lang w:val="en-US" w:eastAsia="en-US"/>
        </w:rPr>
        <w:t xml:space="preserve">Members are provided with </w:t>
      </w:r>
      <w:r w:rsidR="005801F4" w:rsidRPr="00CC7E6C">
        <w:rPr>
          <w:rFonts w:eastAsia="MS Mincho" w:cs="Arial"/>
          <w:sz w:val="22"/>
          <w:szCs w:val="22"/>
          <w:lang w:val="en-US" w:eastAsia="en-US"/>
        </w:rPr>
        <w:t xml:space="preserve">information on </w:t>
      </w:r>
      <w:r w:rsidR="008F21EE">
        <w:rPr>
          <w:rFonts w:eastAsia="MS Mincho" w:cs="Arial"/>
          <w:sz w:val="22"/>
          <w:szCs w:val="22"/>
          <w:lang w:val="en-US" w:eastAsia="en-US"/>
        </w:rPr>
        <w:t>the Scheme’s funding position</w:t>
      </w:r>
      <w:r w:rsidR="005801F4" w:rsidRPr="00CC7E6C">
        <w:rPr>
          <w:rFonts w:eastAsia="MS Mincho" w:cs="Arial"/>
          <w:sz w:val="22"/>
          <w:szCs w:val="22"/>
          <w:lang w:val="en-US" w:eastAsia="en-US"/>
        </w:rPr>
        <w:t xml:space="preserve"> in the annual report to members. </w:t>
      </w:r>
    </w:p>
    <w:p w14:paraId="25B15710" w14:textId="77777777" w:rsidR="002931BB" w:rsidRPr="00CC7E6C" w:rsidRDefault="002931BB" w:rsidP="00CA2880">
      <w:pPr>
        <w:spacing w:line="240" w:lineRule="auto"/>
        <w:rPr>
          <w:rFonts w:eastAsia="MS Mincho" w:cs="Arial"/>
          <w:i/>
          <w:color w:val="FF0000"/>
          <w:sz w:val="22"/>
          <w:szCs w:val="22"/>
          <w:lang w:val="en-US" w:eastAsia="en-US"/>
        </w:rPr>
      </w:pPr>
    </w:p>
    <w:p w14:paraId="1F65D15D" w14:textId="77777777" w:rsidR="005801F4" w:rsidRPr="00C07431" w:rsidRDefault="002931BB" w:rsidP="00CA2880">
      <w:pPr>
        <w:numPr>
          <w:ilvl w:val="0"/>
          <w:numId w:val="36"/>
        </w:numPr>
        <w:spacing w:line="240" w:lineRule="auto"/>
        <w:rPr>
          <w:rFonts w:eastAsia="MS Mincho" w:cs="Arial"/>
          <w:i/>
          <w:color w:val="FF0000"/>
          <w:sz w:val="22"/>
          <w:szCs w:val="22"/>
          <w:lang w:val="en-US" w:eastAsia="en-US"/>
        </w:rPr>
      </w:pPr>
      <w:r w:rsidRPr="00C07431">
        <w:rPr>
          <w:rFonts w:eastAsia="MS Mincho" w:cs="Arial"/>
          <w:sz w:val="22"/>
          <w:szCs w:val="22"/>
          <w:lang w:val="en-US" w:eastAsia="en-US"/>
        </w:rPr>
        <w:t xml:space="preserve">A copy of this Statement of Investment Principles </w:t>
      </w:r>
      <w:r w:rsidR="007D75D1" w:rsidRPr="00C07431">
        <w:rPr>
          <w:rFonts w:eastAsia="MS Mincho" w:cs="Arial"/>
          <w:sz w:val="22"/>
          <w:szCs w:val="22"/>
          <w:lang w:val="en-US" w:eastAsia="en-US"/>
        </w:rPr>
        <w:t>and o</w:t>
      </w:r>
      <w:r w:rsidR="008F3A9B" w:rsidRPr="00C07431">
        <w:rPr>
          <w:rFonts w:eastAsia="MS Mincho" w:cs="Arial"/>
          <w:sz w:val="22"/>
          <w:szCs w:val="22"/>
          <w:lang w:val="en-US" w:eastAsia="en-US"/>
        </w:rPr>
        <w:t>ther documents such as actuarial valuation reports, the schedule of contributions and the</w:t>
      </w:r>
      <w:r w:rsidR="000471AB" w:rsidRPr="00C07431">
        <w:rPr>
          <w:rFonts w:eastAsia="MS Mincho" w:cs="Arial"/>
          <w:sz w:val="22"/>
          <w:szCs w:val="22"/>
          <w:lang w:val="en-US" w:eastAsia="en-US"/>
        </w:rPr>
        <w:t xml:space="preserve"> annual report and accounts are</w:t>
      </w:r>
      <w:r w:rsidR="008F3A9B" w:rsidRPr="00C07431">
        <w:rPr>
          <w:rFonts w:eastAsia="MS Mincho" w:cs="Arial"/>
          <w:sz w:val="22"/>
          <w:szCs w:val="22"/>
          <w:lang w:val="en-US" w:eastAsia="en-US"/>
        </w:rPr>
        <w:t xml:space="preserve"> available to members on request.</w:t>
      </w:r>
    </w:p>
    <w:p w14:paraId="201D9A61" w14:textId="77777777" w:rsidR="004D3753" w:rsidRPr="007777DD" w:rsidRDefault="004D3753" w:rsidP="004D3753">
      <w:pPr>
        <w:pStyle w:val="Heading1"/>
        <w:spacing w:before="0" w:after="0" w:line="240" w:lineRule="auto"/>
      </w:pPr>
      <w:bookmarkStart w:id="4" w:name="_Toc192580103"/>
    </w:p>
    <w:bookmarkEnd w:id="4"/>
    <w:p w14:paraId="2AB83A8E" w14:textId="77777777" w:rsidR="00F751D7" w:rsidRPr="009B5040" w:rsidRDefault="00F751D7" w:rsidP="00CA2880">
      <w:pPr>
        <w:spacing w:line="240" w:lineRule="auto"/>
        <w:ind w:left="360"/>
        <w:contextualSpacing/>
        <w:rPr>
          <w:rFonts w:cs="Arial"/>
          <w:sz w:val="22"/>
          <w:szCs w:val="22"/>
        </w:rPr>
      </w:pPr>
    </w:p>
    <w:p w14:paraId="78AB1FB7" w14:textId="77777777" w:rsidR="00F751D7" w:rsidRPr="009B5040" w:rsidRDefault="00F751D7" w:rsidP="00CA2880">
      <w:pPr>
        <w:pStyle w:val="BodyText"/>
        <w:spacing w:after="0" w:line="240" w:lineRule="auto"/>
        <w:contextualSpacing/>
        <w:rPr>
          <w:rFonts w:cs="Arial"/>
          <w:sz w:val="22"/>
          <w:szCs w:val="22"/>
        </w:rPr>
      </w:pPr>
    </w:p>
    <w:p w14:paraId="57ECB048" w14:textId="77777777" w:rsidR="009C14E4" w:rsidRPr="009B5040" w:rsidRDefault="00334C6D" w:rsidP="00334C6D">
      <w:pPr>
        <w:pStyle w:val="Heading1"/>
        <w:spacing w:before="0" w:after="0" w:line="240" w:lineRule="auto"/>
        <w:contextualSpacing/>
        <w:jc w:val="both"/>
        <w:rPr>
          <w:sz w:val="22"/>
          <w:szCs w:val="22"/>
        </w:rPr>
      </w:pPr>
      <w:r w:rsidRPr="009B5040">
        <w:rPr>
          <w:sz w:val="22"/>
          <w:szCs w:val="22"/>
        </w:rPr>
        <w:t xml:space="preserve"> </w:t>
      </w:r>
    </w:p>
    <w:sectPr w:rsidR="009C14E4" w:rsidRPr="009B5040" w:rsidSect="0062527A">
      <w:footerReference w:type="default" r:id="rId11"/>
      <w:headerReference w:type="first" r:id="rId12"/>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5981" w14:textId="77777777" w:rsidR="005411A6" w:rsidRDefault="005411A6">
      <w:r>
        <w:separator/>
      </w:r>
    </w:p>
  </w:endnote>
  <w:endnote w:type="continuationSeparator" w:id="0">
    <w:p w14:paraId="6050FD89" w14:textId="77777777" w:rsidR="005411A6" w:rsidRDefault="0054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Frutiger LT 45 Light">
    <w:altName w:val="Lucida Sans Unicode"/>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062E" w14:textId="34C411F7" w:rsidR="00FA152E" w:rsidRDefault="00FA152E">
    <w:pPr>
      <w:pStyle w:val="Footer"/>
    </w:pPr>
    <w:r>
      <w:fldChar w:fldCharType="begin"/>
    </w:r>
    <w:r>
      <w:instrText xml:space="preserve"> STYLEREF  Title  \* MERGEFORMAT </w:instrTex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8B6F" w14:textId="77777777" w:rsidR="005411A6" w:rsidRDefault="005411A6">
      <w:r>
        <w:separator/>
      </w:r>
    </w:p>
  </w:footnote>
  <w:footnote w:type="continuationSeparator" w:id="0">
    <w:p w14:paraId="71A030EA" w14:textId="77777777" w:rsidR="005411A6" w:rsidRDefault="0054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ADCD" w14:textId="77777777" w:rsidR="00FA152E" w:rsidRDefault="00FA152E">
    <w:pPr>
      <w:pStyle w:val="HiddenText"/>
    </w:pPr>
  </w:p>
  <w:p w14:paraId="275D84B7" w14:textId="77777777" w:rsidR="00FA152E" w:rsidRDefault="00F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0581CF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4949746"/>
    <w:lvl w:ilvl="0">
      <w:start w:val="1"/>
      <w:numFmt w:val="decimal"/>
      <w:pStyle w:val="ListNumber"/>
      <w:lvlText w:val="%1."/>
      <w:lvlJc w:val="left"/>
      <w:pPr>
        <w:tabs>
          <w:tab w:val="num" w:pos="340"/>
        </w:tabs>
        <w:ind w:left="340" w:hanging="340"/>
      </w:pPr>
      <w:rPr>
        <w:rFonts w:hint="default"/>
      </w:rPr>
    </w:lvl>
  </w:abstractNum>
  <w:abstractNum w:abstractNumId="2" w15:restartNumberingAfterBreak="0">
    <w:nsid w:val="FFFFFF89"/>
    <w:multiLevelType w:val="singleLevel"/>
    <w:tmpl w:val="0D34D924"/>
    <w:lvl w:ilvl="0">
      <w:start w:val="1"/>
      <w:numFmt w:val="bullet"/>
      <w:lvlText w:val=""/>
      <w:lvlJc w:val="left"/>
      <w:pPr>
        <w:tabs>
          <w:tab w:val="num" w:pos="907"/>
        </w:tabs>
        <w:ind w:left="907" w:hanging="453"/>
      </w:pPr>
      <w:rPr>
        <w:rFonts w:ascii="Wingdings" w:hAnsi="Wingdings" w:hint="default"/>
        <w:color w:val="163F75"/>
      </w:rPr>
    </w:lvl>
  </w:abstractNum>
  <w:abstractNum w:abstractNumId="3" w15:restartNumberingAfterBreak="0">
    <w:nsid w:val="001E27F4"/>
    <w:multiLevelType w:val="hybridMultilevel"/>
    <w:tmpl w:val="49CEDAC4"/>
    <w:lvl w:ilvl="0" w:tplc="4E04740E">
      <w:start w:val="1"/>
      <w:numFmt w:val="decimal"/>
      <w:pStyle w:val="71number"/>
      <w:lvlText w:val="7.%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84726"/>
    <w:multiLevelType w:val="hybridMultilevel"/>
    <w:tmpl w:val="91865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357132"/>
    <w:multiLevelType w:val="hybridMultilevel"/>
    <w:tmpl w:val="C51A1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AA5E72"/>
    <w:multiLevelType w:val="hybridMultilevel"/>
    <w:tmpl w:val="27D204AA"/>
    <w:lvl w:ilvl="0" w:tplc="51AA5E8A">
      <w:start w:val="1"/>
      <w:numFmt w:val="bullet"/>
      <w:lvlText w:val="-"/>
      <w:lvlJc w:val="left"/>
      <w:pPr>
        <w:ind w:left="720" w:hanging="360"/>
      </w:pPr>
      <w:rPr>
        <w:rFonts w:ascii="Calibri" w:hAnsi="Calibri" w:hint="default"/>
        <w:color w:val="163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C27C5"/>
    <w:multiLevelType w:val="hybridMultilevel"/>
    <w:tmpl w:val="A0881088"/>
    <w:lvl w:ilvl="0" w:tplc="0E4CD1D6">
      <w:start w:val="1"/>
      <w:numFmt w:val="bullet"/>
      <w:pStyle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174"/>
        </w:tabs>
        <w:ind w:left="1174" w:hanging="360"/>
      </w:pPr>
      <w:rPr>
        <w:rFonts w:ascii="Courier New" w:hAnsi="Courier New"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8" w15:restartNumberingAfterBreak="0">
    <w:nsid w:val="06DA12D3"/>
    <w:multiLevelType w:val="hybridMultilevel"/>
    <w:tmpl w:val="3A7CF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41AF8"/>
    <w:multiLevelType w:val="hybridMultilevel"/>
    <w:tmpl w:val="EDB26804"/>
    <w:lvl w:ilvl="0" w:tplc="04090007">
      <w:start w:val="1"/>
      <w:numFmt w:val="bullet"/>
      <w:lvlText w:val=""/>
      <w:lvlJc w:val="left"/>
      <w:pPr>
        <w:tabs>
          <w:tab w:val="num" w:pos="360"/>
        </w:tabs>
        <w:ind w:left="360" w:hanging="360"/>
      </w:pPr>
      <w:rPr>
        <w:rFonts w:ascii="Wingdings" w:hAnsi="Wingdings" w:hint="default"/>
        <w:sz w:val="16"/>
      </w:rPr>
    </w:lvl>
    <w:lvl w:ilvl="1" w:tplc="D65285A4">
      <w:start w:val="1"/>
      <w:numFmt w:val="bullet"/>
      <w:lvlText w:val="-"/>
      <w:lvlJc w:val="left"/>
      <w:pPr>
        <w:tabs>
          <w:tab w:val="num" w:pos="1080"/>
        </w:tabs>
        <w:ind w:left="1080" w:hanging="360"/>
      </w:pPr>
      <w:rPr>
        <w:rFonts w:ascii="Calibri" w:hAnsi="Calibri"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B21DB7"/>
    <w:multiLevelType w:val="hybridMultilevel"/>
    <w:tmpl w:val="E21CE9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B455D"/>
    <w:multiLevelType w:val="hybridMultilevel"/>
    <w:tmpl w:val="8FCAA996"/>
    <w:lvl w:ilvl="0" w:tplc="B0FC47EA">
      <w:start w:val="1"/>
      <w:numFmt w:val="decimal"/>
      <w:pStyle w:val="22number"/>
      <w:lvlText w:val="2.%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E80FDC"/>
    <w:multiLevelType w:val="hybridMultilevel"/>
    <w:tmpl w:val="62C20408"/>
    <w:lvl w:ilvl="0" w:tplc="1DBAADA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764EBD"/>
    <w:multiLevelType w:val="hybridMultilevel"/>
    <w:tmpl w:val="FC82CE66"/>
    <w:lvl w:ilvl="0" w:tplc="087CE344">
      <w:start w:val="3"/>
      <w:numFmt w:val="decimal"/>
      <w:pStyle w:val="53"/>
      <w:lvlText w:val="5.%1"/>
      <w:lvlJc w:val="left"/>
      <w:pPr>
        <w:tabs>
          <w:tab w:val="num" w:pos="454"/>
        </w:tabs>
        <w:ind w:left="454" w:hanging="454"/>
      </w:pPr>
      <w:rPr>
        <w:rFonts w:ascii="Arial" w:hAnsi="Arial"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34934"/>
    <w:multiLevelType w:val="hybridMultilevel"/>
    <w:tmpl w:val="01D6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7561F8"/>
    <w:multiLevelType w:val="hybridMultilevel"/>
    <w:tmpl w:val="5BE6E11C"/>
    <w:lvl w:ilvl="0" w:tplc="6A1C1604">
      <w:start w:val="1"/>
      <w:numFmt w:val="decimal"/>
      <w:pStyle w:val="61number"/>
      <w:lvlText w:val="6.%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D2516"/>
    <w:multiLevelType w:val="hybridMultilevel"/>
    <w:tmpl w:val="E5A2F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15638"/>
    <w:multiLevelType w:val="hybridMultilevel"/>
    <w:tmpl w:val="E9060B76"/>
    <w:lvl w:ilvl="0" w:tplc="DF4262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A31643"/>
    <w:multiLevelType w:val="hybridMultilevel"/>
    <w:tmpl w:val="189A440C"/>
    <w:lvl w:ilvl="0" w:tplc="0809000F">
      <w:start w:val="1"/>
      <w:numFmt w:val="decimal"/>
      <w:lvlText w:val="%1."/>
      <w:lvlJc w:val="left"/>
      <w:pPr>
        <w:ind w:left="360" w:hanging="360"/>
      </w:pPr>
      <w:rPr>
        <w:rFonts w:hint="default"/>
      </w:rPr>
    </w:lvl>
    <w:lvl w:ilvl="1" w:tplc="6748ADDC">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C26536"/>
    <w:multiLevelType w:val="hybridMultilevel"/>
    <w:tmpl w:val="17EE7E7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606AA9"/>
    <w:multiLevelType w:val="hybridMultilevel"/>
    <w:tmpl w:val="34725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D028C"/>
    <w:multiLevelType w:val="hybridMultilevel"/>
    <w:tmpl w:val="D6DC6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581FFD"/>
    <w:multiLevelType w:val="hybridMultilevel"/>
    <w:tmpl w:val="AB3CC3E4"/>
    <w:lvl w:ilvl="0" w:tplc="84121E08">
      <w:start w:val="1"/>
      <w:numFmt w:val="decimal"/>
      <w:pStyle w:val="81number"/>
      <w:lvlText w:val="8.%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803E9F"/>
    <w:multiLevelType w:val="hybridMultilevel"/>
    <w:tmpl w:val="B0A08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F5BFC"/>
    <w:multiLevelType w:val="hybridMultilevel"/>
    <w:tmpl w:val="5D6EDAEC"/>
    <w:lvl w:ilvl="0" w:tplc="51AA5E8A">
      <w:start w:val="1"/>
      <w:numFmt w:val="bullet"/>
      <w:lvlText w:val="-"/>
      <w:lvlJc w:val="left"/>
      <w:pPr>
        <w:ind w:left="720" w:hanging="360"/>
      </w:pPr>
      <w:rPr>
        <w:rFonts w:ascii="Calibri" w:hAnsi="Calibri" w:hint="default"/>
        <w:color w:val="163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3307D"/>
    <w:multiLevelType w:val="hybridMultilevel"/>
    <w:tmpl w:val="034A72A0"/>
    <w:lvl w:ilvl="0" w:tplc="04090007">
      <w:start w:val="1"/>
      <w:numFmt w:val="bullet"/>
      <w:lvlText w:val=""/>
      <w:lvlJc w:val="left"/>
      <w:pPr>
        <w:tabs>
          <w:tab w:val="num" w:pos="360"/>
        </w:tabs>
        <w:ind w:left="360" w:hanging="360"/>
      </w:pPr>
      <w:rPr>
        <w:rFonts w:ascii="Wingdings" w:hAnsi="Wingdings" w:hint="default"/>
        <w:sz w:val="16"/>
      </w:rPr>
    </w:lvl>
    <w:lvl w:ilvl="1" w:tplc="D3BEBA24">
      <w:start w:val="1"/>
      <w:numFmt w:val="bullet"/>
      <w:lvlText w:val="-"/>
      <w:lvlJc w:val="left"/>
      <w:pPr>
        <w:tabs>
          <w:tab w:val="num" w:pos="1080"/>
        </w:tabs>
        <w:ind w:left="1080" w:hanging="360"/>
      </w:pPr>
      <w:rPr>
        <w:rFonts w:ascii="Calibri" w:hAnsi="Calibri"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623FCC"/>
    <w:multiLevelType w:val="hybridMultilevel"/>
    <w:tmpl w:val="D242A39C"/>
    <w:lvl w:ilvl="0" w:tplc="DF426284">
      <w:start w:val="1"/>
      <w:numFmt w:val="bullet"/>
      <w:lvlText w:val=""/>
      <w:lvlJc w:val="left"/>
      <w:pPr>
        <w:tabs>
          <w:tab w:val="num" w:pos="454"/>
        </w:tabs>
        <w:ind w:left="454" w:hanging="45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E07E5"/>
    <w:multiLevelType w:val="hybridMultilevel"/>
    <w:tmpl w:val="FAE25864"/>
    <w:lvl w:ilvl="0" w:tplc="169E1E10">
      <w:start w:val="1"/>
      <w:numFmt w:val="decimal"/>
      <w:pStyle w:val="31number"/>
      <w:lvlText w:val="3.%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11E81"/>
    <w:multiLevelType w:val="hybridMultilevel"/>
    <w:tmpl w:val="B5D0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34E79"/>
    <w:multiLevelType w:val="hybridMultilevel"/>
    <w:tmpl w:val="A0FED8FA"/>
    <w:lvl w:ilvl="0" w:tplc="8B70D780">
      <w:start w:val="1"/>
      <w:numFmt w:val="bullet"/>
      <w:lvlText w:val="-"/>
      <w:lvlJc w:val="left"/>
      <w:pPr>
        <w:tabs>
          <w:tab w:val="num" w:pos="720"/>
        </w:tabs>
        <w:ind w:left="720" w:hanging="360"/>
      </w:pPr>
      <w:rPr>
        <w:rFonts w:ascii="Calibri" w:hAnsi="Calibr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D2FC2"/>
    <w:multiLevelType w:val="hybridMultilevel"/>
    <w:tmpl w:val="D7BCE3C4"/>
    <w:lvl w:ilvl="0" w:tplc="DFF2040C">
      <w:start w:val="1"/>
      <w:numFmt w:val="decimal"/>
      <w:pStyle w:val="51"/>
      <w:lvlText w:val="5.%1"/>
      <w:lvlJc w:val="left"/>
      <w:pPr>
        <w:tabs>
          <w:tab w:val="num" w:pos="454"/>
        </w:tabs>
        <w:ind w:left="454" w:hanging="454"/>
      </w:pPr>
      <w:rPr>
        <w:rFonts w:ascii="Arial" w:hAnsi="Arial"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F3188C"/>
    <w:multiLevelType w:val="hybridMultilevel"/>
    <w:tmpl w:val="BAF4B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332887"/>
    <w:multiLevelType w:val="hybridMultilevel"/>
    <w:tmpl w:val="F72631D6"/>
    <w:lvl w:ilvl="0" w:tplc="2FA67082">
      <w:start w:val="1"/>
      <w:numFmt w:val="bullet"/>
      <w:pStyle w:val="ListBullet31"/>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85EAC"/>
    <w:multiLevelType w:val="hybridMultilevel"/>
    <w:tmpl w:val="D04EB540"/>
    <w:lvl w:ilvl="0" w:tplc="D96A3DEC">
      <w:start w:val="1"/>
      <w:numFmt w:val="decimal"/>
      <w:pStyle w:val="51number"/>
      <w:lvlText w:val="5.%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A41368"/>
    <w:multiLevelType w:val="hybridMultilevel"/>
    <w:tmpl w:val="5A2CA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A0738E"/>
    <w:multiLevelType w:val="hybridMultilevel"/>
    <w:tmpl w:val="9FDEA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DA297E"/>
    <w:multiLevelType w:val="hybridMultilevel"/>
    <w:tmpl w:val="826C07F4"/>
    <w:lvl w:ilvl="0" w:tplc="6646E5CA">
      <w:start w:val="1"/>
      <w:numFmt w:val="bullet"/>
      <w:lvlText w:val="-"/>
      <w:lvlJc w:val="left"/>
      <w:pPr>
        <w:ind w:left="1080" w:hanging="360"/>
      </w:pPr>
      <w:rPr>
        <w:rFonts w:ascii="Calibri" w:hAnsi="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7667C5"/>
    <w:multiLevelType w:val="hybridMultilevel"/>
    <w:tmpl w:val="67B62FFC"/>
    <w:lvl w:ilvl="0" w:tplc="B488484E">
      <w:start w:val="1"/>
      <w:numFmt w:val="bullet"/>
      <w:lvlText w:val=""/>
      <w:lvlJc w:val="left"/>
      <w:pPr>
        <w:tabs>
          <w:tab w:val="num" w:pos="720"/>
        </w:tabs>
        <w:ind w:left="720" w:hanging="360"/>
      </w:pPr>
      <w:rPr>
        <w:rFonts w:ascii="Wingdings" w:hAnsi="Wingdings" w:hint="default"/>
        <w:color w:val="163F7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F5B2E"/>
    <w:multiLevelType w:val="hybridMultilevel"/>
    <w:tmpl w:val="65640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B75F49"/>
    <w:multiLevelType w:val="hybridMultilevel"/>
    <w:tmpl w:val="00C043F8"/>
    <w:lvl w:ilvl="0" w:tplc="CE1CAC52">
      <w:start w:val="1"/>
      <w:numFmt w:val="decimal"/>
      <w:pStyle w:val="41number"/>
      <w:lvlText w:val="4.%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113DEB"/>
    <w:multiLevelType w:val="hybridMultilevel"/>
    <w:tmpl w:val="671C329A"/>
    <w:lvl w:ilvl="0" w:tplc="9792460E">
      <w:start w:val="1"/>
      <w:numFmt w:val="bullet"/>
      <w:lvlText w:val="-"/>
      <w:lvlJc w:val="left"/>
      <w:pPr>
        <w:ind w:left="1080" w:hanging="360"/>
      </w:pPr>
      <w:rPr>
        <w:rFonts w:ascii="Calibri" w:hAnsi="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7C79FC"/>
    <w:multiLevelType w:val="hybridMultilevel"/>
    <w:tmpl w:val="2AEABFDE"/>
    <w:lvl w:ilvl="0" w:tplc="B6848B50">
      <w:start w:val="7"/>
      <w:numFmt w:val="decimal"/>
      <w:pStyle w:val="57"/>
      <w:lvlText w:val="5.%1"/>
      <w:lvlJc w:val="left"/>
      <w:pPr>
        <w:tabs>
          <w:tab w:val="num" w:pos="454"/>
        </w:tabs>
        <w:ind w:left="454" w:hanging="454"/>
      </w:pPr>
      <w:rPr>
        <w:rFonts w:ascii="Arial" w:hAnsi="Arial"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6C0704"/>
    <w:multiLevelType w:val="hybridMultilevel"/>
    <w:tmpl w:val="C1580318"/>
    <w:lvl w:ilvl="0" w:tplc="6220FE14">
      <w:start w:val="1"/>
      <w:numFmt w:val="decimal"/>
      <w:pStyle w:val="11number"/>
      <w:lvlText w:val="1.%1"/>
      <w:lvlJc w:val="left"/>
      <w:pPr>
        <w:tabs>
          <w:tab w:val="num" w:pos="454"/>
        </w:tabs>
        <w:ind w:left="454" w:hanging="454"/>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4E5850"/>
    <w:multiLevelType w:val="hybridMultilevel"/>
    <w:tmpl w:val="5E0EAB84"/>
    <w:lvl w:ilvl="0" w:tplc="0792DC88">
      <w:start w:val="1"/>
      <w:numFmt w:val="bullet"/>
      <w:pStyle w:val="BulletLisa"/>
      <w:lvlText w:val=""/>
      <w:lvlJc w:val="left"/>
      <w:pPr>
        <w:tabs>
          <w:tab w:val="num" w:pos="1800"/>
        </w:tabs>
        <w:ind w:left="1077" w:firstLine="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D2D7872"/>
    <w:multiLevelType w:val="hybridMultilevel"/>
    <w:tmpl w:val="19787A20"/>
    <w:lvl w:ilvl="0" w:tplc="73C6EBCC">
      <w:start w:val="1"/>
      <w:numFmt w:val="decimal"/>
      <w:pStyle w:val="Listnumber21"/>
      <w:lvlText w:val="2.%1"/>
      <w:lvlJc w:val="left"/>
      <w:pPr>
        <w:tabs>
          <w:tab w:val="num" w:pos="454"/>
        </w:tabs>
        <w:ind w:left="454" w:hanging="45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060297"/>
    <w:multiLevelType w:val="hybridMultilevel"/>
    <w:tmpl w:val="DBF604DA"/>
    <w:lvl w:ilvl="0" w:tplc="DF4262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8278A2"/>
    <w:multiLevelType w:val="hybridMultilevel"/>
    <w:tmpl w:val="562C610C"/>
    <w:lvl w:ilvl="0" w:tplc="51AA5E8A">
      <w:start w:val="1"/>
      <w:numFmt w:val="bullet"/>
      <w:lvlText w:val="-"/>
      <w:lvlJc w:val="left"/>
      <w:pPr>
        <w:ind w:left="1080" w:hanging="360"/>
      </w:pPr>
      <w:rPr>
        <w:rFonts w:ascii="Calibri" w:hAnsi="Calibri" w:hint="default"/>
        <w:color w:val="163F7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DC7E57"/>
    <w:multiLevelType w:val="hybridMultilevel"/>
    <w:tmpl w:val="2AA20DF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43"/>
  </w:num>
  <w:num w:numId="5">
    <w:abstractNumId w:val="47"/>
  </w:num>
  <w:num w:numId="6">
    <w:abstractNumId w:val="27"/>
  </w:num>
  <w:num w:numId="7">
    <w:abstractNumId w:val="39"/>
  </w:num>
  <w:num w:numId="8">
    <w:abstractNumId w:val="33"/>
  </w:num>
  <w:num w:numId="9">
    <w:abstractNumId w:val="42"/>
  </w:num>
  <w:num w:numId="10">
    <w:abstractNumId w:val="11"/>
  </w:num>
  <w:num w:numId="11">
    <w:abstractNumId w:val="3"/>
  </w:num>
  <w:num w:numId="12">
    <w:abstractNumId w:val="22"/>
  </w:num>
  <w:num w:numId="13">
    <w:abstractNumId w:val="26"/>
  </w:num>
  <w:num w:numId="14">
    <w:abstractNumId w:val="44"/>
  </w:num>
  <w:num w:numId="15">
    <w:abstractNumId w:val="15"/>
  </w:num>
  <w:num w:numId="16">
    <w:abstractNumId w:val="7"/>
  </w:num>
  <w:num w:numId="17">
    <w:abstractNumId w:val="32"/>
  </w:num>
  <w:num w:numId="18">
    <w:abstractNumId w:val="30"/>
  </w:num>
  <w:num w:numId="19">
    <w:abstractNumId w:val="13"/>
  </w:num>
  <w:num w:numId="20">
    <w:abstractNumId w:val="41"/>
  </w:num>
  <w:num w:numId="21">
    <w:abstractNumId w:val="37"/>
  </w:num>
  <w:num w:numId="22">
    <w:abstractNumId w:val="38"/>
  </w:num>
  <w:num w:numId="23">
    <w:abstractNumId w:val="35"/>
  </w:num>
  <w:num w:numId="24">
    <w:abstractNumId w:val="34"/>
  </w:num>
  <w:num w:numId="25">
    <w:abstractNumId w:val="4"/>
  </w:num>
  <w:num w:numId="26">
    <w:abstractNumId w:val="14"/>
  </w:num>
  <w:num w:numId="27">
    <w:abstractNumId w:val="21"/>
  </w:num>
  <w:num w:numId="28">
    <w:abstractNumId w:val="28"/>
  </w:num>
  <w:num w:numId="29">
    <w:abstractNumId w:val="31"/>
  </w:num>
  <w:num w:numId="30">
    <w:abstractNumId w:val="12"/>
  </w:num>
  <w:num w:numId="31">
    <w:abstractNumId w:val="23"/>
  </w:num>
  <w:num w:numId="32">
    <w:abstractNumId w:val="10"/>
  </w:num>
  <w:num w:numId="33">
    <w:abstractNumId w:val="29"/>
  </w:num>
  <w:num w:numId="34">
    <w:abstractNumId w:val="19"/>
  </w:num>
  <w:num w:numId="35">
    <w:abstractNumId w:val="5"/>
  </w:num>
  <w:num w:numId="36">
    <w:abstractNumId w:val="45"/>
  </w:num>
  <w:num w:numId="37">
    <w:abstractNumId w:val="6"/>
  </w:num>
  <w:num w:numId="38">
    <w:abstractNumId w:val="9"/>
  </w:num>
  <w:num w:numId="39">
    <w:abstractNumId w:val="36"/>
  </w:num>
  <w:num w:numId="40">
    <w:abstractNumId w:val="25"/>
  </w:num>
  <w:num w:numId="41">
    <w:abstractNumId w:val="46"/>
  </w:num>
  <w:num w:numId="42">
    <w:abstractNumId w:val="40"/>
  </w:num>
  <w:num w:numId="43">
    <w:abstractNumId w:val="17"/>
  </w:num>
  <w:num w:numId="44">
    <w:abstractNumId w:val="24"/>
  </w:num>
  <w:num w:numId="45">
    <w:abstractNumId w:val="20"/>
  </w:num>
  <w:num w:numId="46">
    <w:abstractNumId w:val="18"/>
  </w:num>
  <w:num w:numId="47">
    <w:abstractNumId w:val="8"/>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6dc4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02"/>
    <w:rsid w:val="000026ED"/>
    <w:rsid w:val="00007499"/>
    <w:rsid w:val="000434E5"/>
    <w:rsid w:val="000471AB"/>
    <w:rsid w:val="0005697E"/>
    <w:rsid w:val="00066D84"/>
    <w:rsid w:val="00073576"/>
    <w:rsid w:val="000835E1"/>
    <w:rsid w:val="00094042"/>
    <w:rsid w:val="000B1E11"/>
    <w:rsid w:val="000B2AFC"/>
    <w:rsid w:val="000C0CF2"/>
    <w:rsid w:val="000D16C7"/>
    <w:rsid w:val="000E485A"/>
    <w:rsid w:val="000F063B"/>
    <w:rsid w:val="00121F7B"/>
    <w:rsid w:val="00122079"/>
    <w:rsid w:val="0013216C"/>
    <w:rsid w:val="00132211"/>
    <w:rsid w:val="00136883"/>
    <w:rsid w:val="00146BD7"/>
    <w:rsid w:val="00154BBF"/>
    <w:rsid w:val="00175242"/>
    <w:rsid w:val="001821B2"/>
    <w:rsid w:val="00183C1D"/>
    <w:rsid w:val="001926E1"/>
    <w:rsid w:val="00194D0D"/>
    <w:rsid w:val="00194DB6"/>
    <w:rsid w:val="001C62DE"/>
    <w:rsid w:val="001D2ACF"/>
    <w:rsid w:val="001F5172"/>
    <w:rsid w:val="00207B38"/>
    <w:rsid w:val="00217EE7"/>
    <w:rsid w:val="002237D3"/>
    <w:rsid w:val="002549B4"/>
    <w:rsid w:val="002616EF"/>
    <w:rsid w:val="00261FC1"/>
    <w:rsid w:val="002660F7"/>
    <w:rsid w:val="00270DBA"/>
    <w:rsid w:val="00283C4D"/>
    <w:rsid w:val="00292082"/>
    <w:rsid w:val="002931BB"/>
    <w:rsid w:val="002A157B"/>
    <w:rsid w:val="002B7B1D"/>
    <w:rsid w:val="002C66C8"/>
    <w:rsid w:val="002E0AE8"/>
    <w:rsid w:val="002E0D25"/>
    <w:rsid w:val="002F7CE9"/>
    <w:rsid w:val="00306348"/>
    <w:rsid w:val="003143D1"/>
    <w:rsid w:val="00323903"/>
    <w:rsid w:val="003340A1"/>
    <w:rsid w:val="00334C6D"/>
    <w:rsid w:val="00355011"/>
    <w:rsid w:val="00357CFD"/>
    <w:rsid w:val="00362DEE"/>
    <w:rsid w:val="003634A7"/>
    <w:rsid w:val="0036350F"/>
    <w:rsid w:val="0036504A"/>
    <w:rsid w:val="00366CB8"/>
    <w:rsid w:val="00374C5F"/>
    <w:rsid w:val="003852F4"/>
    <w:rsid w:val="00387A6D"/>
    <w:rsid w:val="0039310B"/>
    <w:rsid w:val="00394500"/>
    <w:rsid w:val="00397811"/>
    <w:rsid w:val="003A54D0"/>
    <w:rsid w:val="003A6432"/>
    <w:rsid w:val="003B10F3"/>
    <w:rsid w:val="003B3605"/>
    <w:rsid w:val="003B5B15"/>
    <w:rsid w:val="003E06DD"/>
    <w:rsid w:val="003F1627"/>
    <w:rsid w:val="00403E09"/>
    <w:rsid w:val="00404AA9"/>
    <w:rsid w:val="004265AA"/>
    <w:rsid w:val="00441264"/>
    <w:rsid w:val="004554F8"/>
    <w:rsid w:val="00456FC4"/>
    <w:rsid w:val="0045780E"/>
    <w:rsid w:val="0046354F"/>
    <w:rsid w:val="004717E5"/>
    <w:rsid w:val="00475BD1"/>
    <w:rsid w:val="00492F49"/>
    <w:rsid w:val="004A5B29"/>
    <w:rsid w:val="004A5E80"/>
    <w:rsid w:val="004C2785"/>
    <w:rsid w:val="004D3753"/>
    <w:rsid w:val="004D7B78"/>
    <w:rsid w:val="00534797"/>
    <w:rsid w:val="005411A6"/>
    <w:rsid w:val="00545206"/>
    <w:rsid w:val="00571306"/>
    <w:rsid w:val="005720C6"/>
    <w:rsid w:val="005801F4"/>
    <w:rsid w:val="005812AB"/>
    <w:rsid w:val="00583B8B"/>
    <w:rsid w:val="005C4CA8"/>
    <w:rsid w:val="005D17EC"/>
    <w:rsid w:val="005D762C"/>
    <w:rsid w:val="005F4763"/>
    <w:rsid w:val="005F5D84"/>
    <w:rsid w:val="005F6B03"/>
    <w:rsid w:val="0060490E"/>
    <w:rsid w:val="0060674B"/>
    <w:rsid w:val="00622130"/>
    <w:rsid w:val="00622A18"/>
    <w:rsid w:val="0062527A"/>
    <w:rsid w:val="00656515"/>
    <w:rsid w:val="0066648E"/>
    <w:rsid w:val="00674BBC"/>
    <w:rsid w:val="00683379"/>
    <w:rsid w:val="00684A9C"/>
    <w:rsid w:val="006D00F0"/>
    <w:rsid w:val="006F49F7"/>
    <w:rsid w:val="006F7214"/>
    <w:rsid w:val="00702E4A"/>
    <w:rsid w:val="00704323"/>
    <w:rsid w:val="00720F01"/>
    <w:rsid w:val="00721761"/>
    <w:rsid w:val="00723FA2"/>
    <w:rsid w:val="00726E40"/>
    <w:rsid w:val="00737CC8"/>
    <w:rsid w:val="00740FDD"/>
    <w:rsid w:val="0074722A"/>
    <w:rsid w:val="00747FB9"/>
    <w:rsid w:val="007777DD"/>
    <w:rsid w:val="00790DF2"/>
    <w:rsid w:val="007A0E31"/>
    <w:rsid w:val="007A2240"/>
    <w:rsid w:val="007B23CF"/>
    <w:rsid w:val="007B39C5"/>
    <w:rsid w:val="007B6F21"/>
    <w:rsid w:val="007B7BB3"/>
    <w:rsid w:val="007C28B4"/>
    <w:rsid w:val="007D75D1"/>
    <w:rsid w:val="007E23E9"/>
    <w:rsid w:val="007F4869"/>
    <w:rsid w:val="00803421"/>
    <w:rsid w:val="008219D9"/>
    <w:rsid w:val="00823CDB"/>
    <w:rsid w:val="00834724"/>
    <w:rsid w:val="0084489F"/>
    <w:rsid w:val="00855071"/>
    <w:rsid w:val="0086392B"/>
    <w:rsid w:val="00867476"/>
    <w:rsid w:val="00871CEE"/>
    <w:rsid w:val="008C1B65"/>
    <w:rsid w:val="008D482D"/>
    <w:rsid w:val="008D7701"/>
    <w:rsid w:val="008F21EE"/>
    <w:rsid w:val="008F3A9B"/>
    <w:rsid w:val="00901493"/>
    <w:rsid w:val="00911420"/>
    <w:rsid w:val="00911D2E"/>
    <w:rsid w:val="00933638"/>
    <w:rsid w:val="00943DA0"/>
    <w:rsid w:val="00944409"/>
    <w:rsid w:val="00950E74"/>
    <w:rsid w:val="00962C71"/>
    <w:rsid w:val="009706ED"/>
    <w:rsid w:val="00995699"/>
    <w:rsid w:val="009963A9"/>
    <w:rsid w:val="009A46DC"/>
    <w:rsid w:val="009B5040"/>
    <w:rsid w:val="009B6102"/>
    <w:rsid w:val="009C0F22"/>
    <w:rsid w:val="009C14E4"/>
    <w:rsid w:val="009D3A64"/>
    <w:rsid w:val="009E6217"/>
    <w:rsid w:val="00A0633E"/>
    <w:rsid w:val="00A44067"/>
    <w:rsid w:val="00A72A05"/>
    <w:rsid w:val="00A74E97"/>
    <w:rsid w:val="00A7627F"/>
    <w:rsid w:val="00A90860"/>
    <w:rsid w:val="00A924F7"/>
    <w:rsid w:val="00AC0DC7"/>
    <w:rsid w:val="00AE318A"/>
    <w:rsid w:val="00AE354D"/>
    <w:rsid w:val="00B0197B"/>
    <w:rsid w:val="00B12319"/>
    <w:rsid w:val="00B13E38"/>
    <w:rsid w:val="00B170F7"/>
    <w:rsid w:val="00B25352"/>
    <w:rsid w:val="00B27273"/>
    <w:rsid w:val="00B32244"/>
    <w:rsid w:val="00B44F0F"/>
    <w:rsid w:val="00B711AE"/>
    <w:rsid w:val="00B90EF1"/>
    <w:rsid w:val="00B91461"/>
    <w:rsid w:val="00B97AC2"/>
    <w:rsid w:val="00BA7C13"/>
    <w:rsid w:val="00BC0905"/>
    <w:rsid w:val="00BC489D"/>
    <w:rsid w:val="00BE0756"/>
    <w:rsid w:val="00BE44F5"/>
    <w:rsid w:val="00BF2DE6"/>
    <w:rsid w:val="00BF667E"/>
    <w:rsid w:val="00C07431"/>
    <w:rsid w:val="00C31129"/>
    <w:rsid w:val="00C41A5D"/>
    <w:rsid w:val="00C45D38"/>
    <w:rsid w:val="00C56AFC"/>
    <w:rsid w:val="00C57209"/>
    <w:rsid w:val="00C64340"/>
    <w:rsid w:val="00C73E11"/>
    <w:rsid w:val="00C87ADE"/>
    <w:rsid w:val="00CA2880"/>
    <w:rsid w:val="00CA4173"/>
    <w:rsid w:val="00CB583B"/>
    <w:rsid w:val="00CB6243"/>
    <w:rsid w:val="00CC7E6C"/>
    <w:rsid w:val="00D16F0A"/>
    <w:rsid w:val="00D376B3"/>
    <w:rsid w:val="00D5223C"/>
    <w:rsid w:val="00D550AB"/>
    <w:rsid w:val="00D56B08"/>
    <w:rsid w:val="00D80C4F"/>
    <w:rsid w:val="00D87FF5"/>
    <w:rsid w:val="00D927D0"/>
    <w:rsid w:val="00D92CDA"/>
    <w:rsid w:val="00DB6635"/>
    <w:rsid w:val="00DF230F"/>
    <w:rsid w:val="00E23B76"/>
    <w:rsid w:val="00E31213"/>
    <w:rsid w:val="00E335D5"/>
    <w:rsid w:val="00E41DB1"/>
    <w:rsid w:val="00E534B3"/>
    <w:rsid w:val="00E6149E"/>
    <w:rsid w:val="00E67823"/>
    <w:rsid w:val="00E7499B"/>
    <w:rsid w:val="00E7711F"/>
    <w:rsid w:val="00E90F0D"/>
    <w:rsid w:val="00EE7D2B"/>
    <w:rsid w:val="00F01521"/>
    <w:rsid w:val="00F14F79"/>
    <w:rsid w:val="00F200CB"/>
    <w:rsid w:val="00F27FF3"/>
    <w:rsid w:val="00F4159D"/>
    <w:rsid w:val="00F54091"/>
    <w:rsid w:val="00F737B9"/>
    <w:rsid w:val="00F751D7"/>
    <w:rsid w:val="00F751E4"/>
    <w:rsid w:val="00F80442"/>
    <w:rsid w:val="00F85A95"/>
    <w:rsid w:val="00FA007B"/>
    <w:rsid w:val="00FA152E"/>
    <w:rsid w:val="00FA3884"/>
    <w:rsid w:val="00FA4761"/>
    <w:rsid w:val="00FB14FF"/>
    <w:rsid w:val="00FC15BC"/>
    <w:rsid w:val="00FC3BF2"/>
    <w:rsid w:val="00FC58C8"/>
    <w:rsid w:val="00FC5952"/>
    <w:rsid w:val="00FD3392"/>
    <w:rsid w:val="00FD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dc44"/>
    </o:shapedefaults>
    <o:shapelayout v:ext="edit">
      <o:idmap v:ext="edit" data="1"/>
    </o:shapelayout>
  </w:shapeDefaults>
  <w:decimalSymbol w:val="."/>
  <w:listSeparator w:val=","/>
  <w14:docId w14:val="395BED82"/>
  <w15:docId w15:val="{5C1E4B2F-E18C-4F75-9E88-1D9B19E6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szCs w:val="24"/>
    </w:rPr>
  </w:style>
  <w:style w:type="paragraph" w:styleId="Heading1">
    <w:name w:val="heading 1"/>
    <w:basedOn w:val="Normal"/>
    <w:next w:val="Normal"/>
    <w:qFormat/>
    <w:pPr>
      <w:keepNext/>
      <w:spacing w:before="120" w:after="480" w:line="420" w:lineRule="atLeast"/>
      <w:outlineLvl w:val="0"/>
    </w:pPr>
    <w:rPr>
      <w:rFonts w:cs="Arial"/>
      <w:bCs/>
      <w:color w:val="163F75"/>
      <w:spacing w:val="-4"/>
      <w:kern w:val="32"/>
      <w:sz w:val="36"/>
      <w:szCs w:val="36"/>
    </w:rPr>
  </w:style>
  <w:style w:type="paragraph" w:styleId="Heading2">
    <w:name w:val="heading 2"/>
    <w:basedOn w:val="Normal"/>
    <w:next w:val="Normal"/>
    <w:qFormat/>
    <w:pPr>
      <w:keepNext/>
      <w:spacing w:before="280" w:after="80" w:line="320" w:lineRule="atLeast"/>
      <w:outlineLvl w:val="1"/>
    </w:pPr>
    <w:rPr>
      <w:rFonts w:cs="Arial"/>
      <w:bCs/>
      <w:iCs/>
      <w:color w:val="163F75"/>
      <w:sz w:val="28"/>
      <w:szCs w:val="28"/>
    </w:rPr>
  </w:style>
  <w:style w:type="paragraph" w:styleId="Heading3">
    <w:name w:val="heading 3"/>
    <w:aliases w:val="Level 1 - 1"/>
    <w:basedOn w:val="Normal"/>
    <w:next w:val="Normal"/>
    <w:autoRedefine/>
    <w:qFormat/>
    <w:rsid w:val="002C66C8"/>
    <w:pPr>
      <w:keepNext/>
      <w:spacing w:line="240" w:lineRule="auto"/>
      <w:contextualSpacing/>
      <w:outlineLvl w:val="2"/>
    </w:pPr>
    <w:rPr>
      <w:rFonts w:cs="Arial"/>
      <w:b/>
      <w:bCs/>
      <w:sz w:val="22"/>
      <w:szCs w:val="22"/>
    </w:rPr>
  </w:style>
  <w:style w:type="paragraph" w:styleId="Heading4">
    <w:name w:val="heading 4"/>
    <w:basedOn w:val="Normal"/>
    <w:next w:val="Normal"/>
    <w:qFormat/>
    <w:pPr>
      <w:keepNext/>
      <w:keepLines/>
      <w:shd w:val="solid" w:color="FFFFFF" w:fill="FFFFFF"/>
      <w:spacing w:before="220" w:after="60" w:line="240" w:lineRule="auto"/>
      <w:jc w:val="both"/>
      <w:outlineLvl w:val="3"/>
    </w:pPr>
    <w:rPr>
      <w:b/>
      <w:sz w:val="22"/>
      <w:szCs w:val="20"/>
      <w:lang w:eastAsia="en-US"/>
    </w:rPr>
  </w:style>
  <w:style w:type="paragraph" w:styleId="Heading5">
    <w:name w:val="heading 5"/>
    <w:basedOn w:val="Normal"/>
    <w:next w:val="Normal"/>
    <w:qFormat/>
    <w:pPr>
      <w:keepNext/>
      <w:spacing w:before="120"/>
      <w:outlineLvl w:val="4"/>
    </w:pPr>
    <w:rPr>
      <w:b/>
      <w:bCs/>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spacing w:line="240" w:lineRule="auto"/>
      <w:jc w:val="both"/>
      <w:outlineLvl w:val="6"/>
    </w:pPr>
    <w:rPr>
      <w:rFonts w:ascii="Times New Roman" w:hAnsi="Times New Roman"/>
      <w:sz w:val="24"/>
      <w:szCs w:val="20"/>
      <w:lang w:val="en-US" w:eastAsia="en-US"/>
    </w:rPr>
  </w:style>
  <w:style w:type="paragraph" w:styleId="Heading8">
    <w:name w:val="heading 8"/>
    <w:basedOn w:val="Normal"/>
    <w:next w:val="Normal"/>
    <w:qFormat/>
    <w:pPr>
      <w:keepNext/>
      <w:spacing w:line="240" w:lineRule="auto"/>
      <w:jc w:val="both"/>
      <w:outlineLvl w:val="7"/>
    </w:pPr>
    <w:rPr>
      <w:rFonts w:ascii="Times New Roman" w:hAnsi="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autoRedefine/>
    <w:pPr>
      <w:keepLines/>
      <w:shd w:val="solid" w:color="FFFFFF" w:fill="FFFFFF"/>
      <w:spacing w:after="140"/>
      <w:ind w:left="454"/>
      <w:jc w:val="both"/>
    </w:pPr>
    <w:rPr>
      <w:b/>
      <w:bCs/>
      <w:szCs w:val="20"/>
      <w:lang w:eastAsia="en-US"/>
    </w:rPr>
  </w:style>
  <w:style w:type="paragraph" w:styleId="Title">
    <w:name w:val="Title"/>
    <w:basedOn w:val="Normal"/>
    <w:qFormat/>
    <w:pPr>
      <w:spacing w:after="120" w:line="480" w:lineRule="exact"/>
    </w:pPr>
    <w:rPr>
      <w:rFonts w:cs="Arial"/>
      <w:bCs/>
      <w:color w:val="106994"/>
      <w:kern w:val="28"/>
      <w:sz w:val="40"/>
      <w:szCs w:val="40"/>
    </w:rPr>
  </w:style>
  <w:style w:type="paragraph" w:styleId="Subtitle">
    <w:name w:val="Subtitle"/>
    <w:basedOn w:val="Normal"/>
    <w:autoRedefine/>
    <w:qFormat/>
    <w:rsid w:val="00BE0756"/>
    <w:pPr>
      <w:framePr w:wrap="around" w:vAnchor="page" w:hAnchor="page" w:x="2170" w:y="4022"/>
      <w:spacing w:after="360"/>
      <w:suppressOverlap/>
    </w:pPr>
    <w:rPr>
      <w:rFonts w:cs="Arial"/>
      <w:b/>
      <w:sz w:val="40"/>
      <w:szCs w:val="40"/>
    </w:rPr>
  </w:style>
  <w:style w:type="paragraph" w:styleId="Date">
    <w:name w:val="Date"/>
    <w:basedOn w:val="Normal"/>
    <w:next w:val="Normal"/>
    <w:pPr>
      <w:spacing w:after="360"/>
    </w:pPr>
    <w:rPr>
      <w:b/>
      <w:color w:val="163F75"/>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right" w:pos="7853"/>
      </w:tabs>
    </w:pPr>
    <w:rPr>
      <w:noProof/>
      <w:sz w:val="16"/>
    </w:rPr>
  </w:style>
  <w:style w:type="character" w:styleId="PageNumber">
    <w:name w:val="page number"/>
    <w:basedOn w:val="DefaultParagraphFont"/>
  </w:style>
  <w:style w:type="paragraph" w:styleId="TOC2">
    <w:name w:val="toc 2"/>
    <w:basedOn w:val="Normal"/>
    <w:next w:val="Normal"/>
    <w:autoRedefine/>
    <w:semiHidden/>
    <w:pPr>
      <w:spacing w:before="60"/>
    </w:pPr>
  </w:style>
  <w:style w:type="paragraph" w:styleId="TOC1">
    <w:name w:val="toc 1"/>
    <w:basedOn w:val="Normal"/>
    <w:next w:val="Normal"/>
    <w:autoRedefine/>
    <w:semiHidden/>
    <w:pPr>
      <w:spacing w:before="120"/>
    </w:pPr>
    <w:rPr>
      <w:b/>
    </w:rPr>
  </w:style>
  <w:style w:type="character" w:styleId="Hyperlink">
    <w:name w:val="Hyperlink"/>
    <w:rPr>
      <w:color w:val="0000FF"/>
      <w:u w:val="single"/>
    </w:rPr>
  </w:style>
  <w:style w:type="paragraph" w:styleId="ListBullet">
    <w:name w:val="List Bullet"/>
    <w:basedOn w:val="Normal"/>
    <w:autoRedefine/>
    <w:rsid w:val="00F751D7"/>
    <w:pPr>
      <w:spacing w:line="240" w:lineRule="auto"/>
    </w:pPr>
  </w:style>
  <w:style w:type="paragraph" w:customStyle="1" w:styleId="Listnumber21">
    <w:name w:val="List number 2.1"/>
    <w:basedOn w:val="BodyText"/>
    <w:pPr>
      <w:numPr>
        <w:numId w:val="14"/>
      </w:numPr>
      <w:spacing w:after="140"/>
    </w:pPr>
  </w:style>
  <w:style w:type="paragraph" w:customStyle="1" w:styleId="ContentsHeading">
    <w:name w:val="Contents Heading"/>
    <w:basedOn w:val="Normal"/>
    <w:pPr>
      <w:spacing w:after="480" w:line="420" w:lineRule="atLeast"/>
    </w:pPr>
    <w:rPr>
      <w:color w:val="163F75"/>
      <w:sz w:val="36"/>
      <w:szCs w:val="36"/>
    </w:rPr>
  </w:style>
  <w:style w:type="paragraph" w:styleId="List">
    <w:name w:val="List"/>
    <w:basedOn w:val="Normal"/>
    <w:pPr>
      <w:ind w:left="283" w:hanging="283"/>
    </w:pPr>
  </w:style>
  <w:style w:type="paragraph" w:styleId="ListNumber">
    <w:name w:val="List Number"/>
    <w:basedOn w:val="Normal"/>
    <w:pPr>
      <w:numPr>
        <w:numId w:val="3"/>
      </w:numPr>
      <w:spacing w:after="80"/>
    </w:pPr>
  </w:style>
  <w:style w:type="character" w:customStyle="1" w:styleId="BodyTextChar">
    <w:name w:val="Body Text Char"/>
    <w:rPr>
      <w:rFonts w:ascii="Arial" w:hAnsi="Arial"/>
      <w:szCs w:val="24"/>
      <w:lang w:val="en-GB" w:eastAsia="en-GB" w:bidi="ar-SA"/>
    </w:rPr>
  </w:style>
  <w:style w:type="paragraph" w:customStyle="1" w:styleId="HiddenText">
    <w:name w:val="Hidden Text"/>
    <w:basedOn w:val="Header"/>
    <w:pPr>
      <w:spacing w:line="60" w:lineRule="exact"/>
    </w:pPr>
    <w:rPr>
      <w:vanish/>
      <w:szCs w:val="20"/>
    </w:rPr>
  </w:style>
  <w:style w:type="paragraph" w:customStyle="1" w:styleId="AppendixHeading">
    <w:name w:val="Appendix Heading"/>
    <w:basedOn w:val="Heading1"/>
    <w:next w:val="Normal"/>
    <w:pPr>
      <w:pageBreakBefore/>
    </w:pPr>
  </w:style>
  <w:style w:type="paragraph" w:customStyle="1" w:styleId="BulletLisa">
    <w:name w:val="BulletLisa"/>
    <w:basedOn w:val="Normal"/>
    <w:pPr>
      <w:keepLines/>
      <w:numPr>
        <w:numId w:val="4"/>
      </w:numPr>
      <w:shd w:val="solid" w:color="FFFFFF" w:fill="FFFFFF"/>
      <w:spacing w:before="220" w:line="240" w:lineRule="auto"/>
      <w:jc w:val="both"/>
    </w:pPr>
    <w:rPr>
      <w:sz w:val="22"/>
      <w:szCs w:val="20"/>
      <w:lang w:eastAsia="en-US"/>
    </w:rPr>
  </w:style>
  <w:style w:type="paragraph" w:styleId="TOC3">
    <w:name w:val="toc 3"/>
    <w:basedOn w:val="Normal"/>
    <w:next w:val="Normal"/>
    <w:autoRedefine/>
    <w:semiHidden/>
    <w:pPr>
      <w:tabs>
        <w:tab w:val="right" w:pos="7853"/>
      </w:tabs>
    </w:pPr>
  </w:style>
  <w:style w:type="paragraph" w:styleId="ListBullet2">
    <w:name w:val="List Bullet 2"/>
    <w:basedOn w:val="Normal"/>
    <w:pPr>
      <w:keepLines/>
      <w:numPr>
        <w:numId w:val="2"/>
      </w:numPr>
      <w:shd w:val="solid" w:color="FFFFFF" w:fill="FFFFFF"/>
      <w:spacing w:before="220" w:line="240" w:lineRule="auto"/>
      <w:jc w:val="both"/>
    </w:pPr>
    <w:rPr>
      <w:sz w:val="22"/>
      <w:szCs w:val="20"/>
      <w:lang w:eastAsia="en-US"/>
    </w:rPr>
  </w:style>
  <w:style w:type="paragraph" w:customStyle="1" w:styleId="81number">
    <w:name w:val="8.1 number"/>
    <w:basedOn w:val="Normal"/>
    <w:autoRedefine/>
    <w:pPr>
      <w:numPr>
        <w:numId w:val="12"/>
      </w:numPr>
      <w:spacing w:after="140"/>
    </w:pPr>
  </w:style>
  <w:style w:type="paragraph" w:customStyle="1" w:styleId="41number">
    <w:name w:val="4.1 number"/>
    <w:basedOn w:val="Normal"/>
    <w:autoRedefine/>
    <w:pPr>
      <w:numPr>
        <w:numId w:val="7"/>
      </w:numPr>
      <w:spacing w:after="140"/>
    </w:pPr>
  </w:style>
  <w:style w:type="paragraph" w:customStyle="1" w:styleId="31number">
    <w:name w:val="3.1 number"/>
    <w:basedOn w:val="Normal"/>
    <w:pPr>
      <w:numPr>
        <w:numId w:val="6"/>
      </w:numPr>
      <w:spacing w:after="140"/>
    </w:pPr>
  </w:style>
  <w:style w:type="paragraph" w:customStyle="1" w:styleId="51number">
    <w:name w:val="5.1 number"/>
    <w:basedOn w:val="Normal"/>
    <w:autoRedefine/>
    <w:pPr>
      <w:numPr>
        <w:numId w:val="8"/>
      </w:numPr>
      <w:spacing w:after="140"/>
    </w:pPr>
  </w:style>
  <w:style w:type="paragraph" w:customStyle="1" w:styleId="11number">
    <w:name w:val="1.1 number"/>
    <w:basedOn w:val="Normal"/>
    <w:pPr>
      <w:numPr>
        <w:numId w:val="9"/>
      </w:numPr>
      <w:spacing w:after="140"/>
    </w:pPr>
  </w:style>
  <w:style w:type="paragraph" w:customStyle="1" w:styleId="22number">
    <w:name w:val="2.2 number"/>
    <w:basedOn w:val="Normal"/>
    <w:pPr>
      <w:numPr>
        <w:numId w:val="10"/>
      </w:numPr>
      <w:spacing w:after="140"/>
      <w:jc w:val="both"/>
    </w:pPr>
  </w:style>
  <w:style w:type="paragraph" w:customStyle="1" w:styleId="indentnormal">
    <w:name w:val="indent normal"/>
    <w:basedOn w:val="Normal"/>
    <w:pPr>
      <w:spacing w:after="140"/>
      <w:ind w:left="454"/>
    </w:pPr>
  </w:style>
  <w:style w:type="paragraph" w:customStyle="1" w:styleId="61number">
    <w:name w:val="6.1 number"/>
    <w:basedOn w:val="Normal"/>
    <w:autoRedefine/>
    <w:pPr>
      <w:numPr>
        <w:numId w:val="15"/>
      </w:numPr>
      <w:spacing w:after="140"/>
    </w:pPr>
  </w:style>
  <w:style w:type="paragraph" w:customStyle="1" w:styleId="71number">
    <w:name w:val="7.1 number"/>
    <w:basedOn w:val="Normal"/>
    <w:autoRedefine/>
    <w:pPr>
      <w:numPr>
        <w:numId w:val="11"/>
      </w:numPr>
      <w:spacing w:after="140"/>
      <w:jc w:val="both"/>
    </w:pPr>
  </w:style>
  <w:style w:type="paragraph" w:customStyle="1" w:styleId="Bullet2">
    <w:name w:val="Bullet 2"/>
    <w:basedOn w:val="Normal"/>
    <w:pPr>
      <w:spacing w:after="140"/>
    </w:pPr>
    <w:rPr>
      <w:rFonts w:ascii="Arial Bold" w:hAnsi="Arial Bold"/>
      <w:b/>
    </w:rPr>
  </w:style>
  <w:style w:type="paragraph" w:styleId="BodyText">
    <w:name w:val="Body Text"/>
    <w:aliases w:val="MG Text"/>
    <w:basedOn w:val="Normal"/>
    <w:pPr>
      <w:spacing w:after="120"/>
    </w:pPr>
  </w:style>
  <w:style w:type="paragraph" w:styleId="BodyText2">
    <w:name w:val="Body Text 2"/>
    <w:basedOn w:val="Normal"/>
    <w:pPr>
      <w:spacing w:line="240" w:lineRule="auto"/>
      <w:jc w:val="both"/>
    </w:pPr>
    <w:rPr>
      <w:rFonts w:ascii="Frutiger LT 45 Light" w:hAnsi="Frutiger LT 45 Light"/>
      <w:sz w:val="22"/>
      <w:szCs w:val="20"/>
      <w:lang w:eastAsia="en-US"/>
    </w:rPr>
  </w:style>
  <w:style w:type="paragraph" w:styleId="DocumentMap">
    <w:name w:val="Document Map"/>
    <w:basedOn w:val="Normal"/>
    <w:semiHidden/>
    <w:pPr>
      <w:keepLines/>
      <w:shd w:val="clear" w:color="auto" w:fill="000080"/>
      <w:spacing w:before="220" w:line="240" w:lineRule="auto"/>
      <w:jc w:val="both"/>
    </w:pPr>
    <w:rPr>
      <w:rFonts w:ascii="Tahoma" w:hAnsi="Tahoma"/>
      <w:sz w:val="22"/>
      <w:szCs w:val="20"/>
      <w:lang w:eastAsia="en-US"/>
    </w:rPr>
  </w:style>
  <w:style w:type="paragraph" w:customStyle="1" w:styleId="ListBullet31">
    <w:name w:val="List Bullet 31"/>
    <w:basedOn w:val="BodyText"/>
    <w:pPr>
      <w:keepLines/>
      <w:numPr>
        <w:numId w:val="17"/>
      </w:numPr>
      <w:shd w:val="solid" w:color="FFFFFF" w:fill="FFFFFF"/>
      <w:spacing w:before="220" w:after="0" w:line="240" w:lineRule="auto"/>
      <w:jc w:val="both"/>
    </w:pPr>
    <w:rPr>
      <w:sz w:val="22"/>
      <w:szCs w:val="20"/>
      <w:lang w:eastAsia="en-US"/>
    </w:rPr>
  </w:style>
  <w:style w:type="paragraph" w:customStyle="1" w:styleId="ListContinue1">
    <w:name w:val="List Continue1"/>
    <w:basedOn w:val="BodyText"/>
    <w:pPr>
      <w:spacing w:after="140"/>
      <w:ind w:left="454"/>
    </w:pPr>
  </w:style>
  <w:style w:type="paragraph" w:customStyle="1" w:styleId="51">
    <w:name w:val="5.1"/>
    <w:basedOn w:val="BodyText"/>
    <w:pPr>
      <w:numPr>
        <w:numId w:val="18"/>
      </w:numPr>
      <w:spacing w:after="140"/>
    </w:pPr>
  </w:style>
  <w:style w:type="paragraph" w:customStyle="1" w:styleId="53">
    <w:name w:val="5.3"/>
    <w:basedOn w:val="BodyText"/>
    <w:pPr>
      <w:numPr>
        <w:numId w:val="19"/>
      </w:numPr>
      <w:spacing w:after="140"/>
    </w:pPr>
    <w:rPr>
      <w:rFonts w:ascii="Arial Bold" w:hAnsi="Arial Bold"/>
      <w:b/>
    </w:rPr>
  </w:style>
  <w:style w:type="paragraph" w:customStyle="1" w:styleId="-bullet">
    <w:name w:val="- bullet"/>
    <w:basedOn w:val="BodyText"/>
    <w:pPr>
      <w:numPr>
        <w:numId w:val="16"/>
      </w:numPr>
      <w:spacing w:after="140"/>
    </w:pPr>
  </w:style>
  <w:style w:type="paragraph" w:customStyle="1" w:styleId="57">
    <w:name w:val="5.7"/>
    <w:basedOn w:val="BodyText"/>
    <w:pPr>
      <w:numPr>
        <w:numId w:val="20"/>
      </w:numPr>
      <w:spacing w:after="140"/>
    </w:pPr>
  </w:style>
  <w:style w:type="paragraph" w:styleId="BodyText3">
    <w:name w:val="Body Text 3"/>
    <w:basedOn w:val="Normal"/>
    <w:pPr>
      <w:spacing w:line="240" w:lineRule="auto"/>
      <w:jc w:val="both"/>
    </w:pPr>
    <w:rPr>
      <w:rFonts w:ascii="Times New Roman" w:hAnsi="Times New Roman"/>
      <w:sz w:val="24"/>
      <w:szCs w:val="20"/>
      <w:lang w:val="en-US" w:eastAsia="en-US"/>
    </w:rPr>
  </w:style>
  <w:style w:type="paragraph" w:styleId="ListParagraph">
    <w:name w:val="List Paragraph"/>
    <w:basedOn w:val="Normal"/>
    <w:uiPriority w:val="34"/>
    <w:qFormat/>
    <w:rsid w:val="00357CFD"/>
    <w:pPr>
      <w:spacing w:after="200" w:line="276" w:lineRule="auto"/>
      <w:ind w:left="720"/>
      <w:contextualSpacing/>
    </w:pPr>
    <w:rPr>
      <w:rFonts w:ascii="Calibri" w:hAnsi="Calibri"/>
      <w:sz w:val="22"/>
      <w:szCs w:val="22"/>
    </w:rPr>
  </w:style>
  <w:style w:type="table" w:styleId="TableGrid">
    <w:name w:val="Table Grid"/>
    <w:basedOn w:val="TableNormal"/>
    <w:uiPriority w:val="59"/>
    <w:rsid w:val="000C0C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0C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11AE"/>
    <w:pPr>
      <w:spacing w:line="240" w:lineRule="auto"/>
    </w:pPr>
    <w:rPr>
      <w:rFonts w:ascii="Tahoma" w:hAnsi="Tahoma" w:cs="Tahoma"/>
      <w:sz w:val="16"/>
      <w:szCs w:val="16"/>
    </w:rPr>
  </w:style>
  <w:style w:type="character" w:customStyle="1" w:styleId="BalloonTextChar">
    <w:name w:val="Balloon Text Char"/>
    <w:link w:val="BalloonText"/>
    <w:rsid w:val="00B711AE"/>
    <w:rPr>
      <w:rFonts w:ascii="Tahoma" w:hAnsi="Tahoma" w:cs="Tahoma"/>
      <w:sz w:val="16"/>
      <w:szCs w:val="16"/>
    </w:rPr>
  </w:style>
  <w:style w:type="character" w:styleId="CommentReference">
    <w:name w:val="annotation reference"/>
    <w:basedOn w:val="DefaultParagraphFont"/>
    <w:semiHidden/>
    <w:unhideWhenUsed/>
    <w:rsid w:val="00FD3392"/>
    <w:rPr>
      <w:sz w:val="16"/>
      <w:szCs w:val="16"/>
    </w:rPr>
  </w:style>
  <w:style w:type="paragraph" w:styleId="CommentText">
    <w:name w:val="annotation text"/>
    <w:basedOn w:val="Normal"/>
    <w:link w:val="CommentTextChar"/>
    <w:semiHidden/>
    <w:unhideWhenUsed/>
    <w:rsid w:val="00FD3392"/>
    <w:pPr>
      <w:spacing w:line="240" w:lineRule="auto"/>
    </w:pPr>
    <w:rPr>
      <w:szCs w:val="20"/>
    </w:rPr>
  </w:style>
  <w:style w:type="character" w:customStyle="1" w:styleId="CommentTextChar">
    <w:name w:val="Comment Text Char"/>
    <w:basedOn w:val="DefaultParagraphFont"/>
    <w:link w:val="CommentText"/>
    <w:semiHidden/>
    <w:rsid w:val="00FD3392"/>
    <w:rPr>
      <w:rFonts w:ascii="Arial" w:hAnsi="Arial"/>
    </w:rPr>
  </w:style>
  <w:style w:type="paragraph" w:styleId="CommentSubject">
    <w:name w:val="annotation subject"/>
    <w:basedOn w:val="CommentText"/>
    <w:next w:val="CommentText"/>
    <w:link w:val="CommentSubjectChar"/>
    <w:semiHidden/>
    <w:unhideWhenUsed/>
    <w:rsid w:val="00FD3392"/>
    <w:rPr>
      <w:b/>
      <w:bCs/>
    </w:rPr>
  </w:style>
  <w:style w:type="character" w:customStyle="1" w:styleId="CommentSubjectChar">
    <w:name w:val="Comment Subject Char"/>
    <w:basedOn w:val="CommentTextChar"/>
    <w:link w:val="CommentSubject"/>
    <w:semiHidden/>
    <w:rsid w:val="00FD33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oftware\Microsoft%20Office\Workgroup%20Templates\JLT%20EB%202004\Employee%20Benef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997CB9AE906246A67541326CA9A8F1" ma:contentTypeVersion="2" ma:contentTypeDescription="Create a new document." ma:contentTypeScope="" ma:versionID="92f1d5bf7f00537e6d928ee037996691">
  <xsd:schema xmlns:xsd="http://www.w3.org/2001/XMLSchema" xmlns:xs="http://www.w3.org/2001/XMLSchema" xmlns:p="http://schemas.microsoft.com/office/2006/metadata/properties" xmlns:ns2="76d674b7-5cbe-49ce-9d79-ad6a43481b63" targetNamespace="http://schemas.microsoft.com/office/2006/metadata/properties" ma:root="true" ma:fieldsID="fafebe6c10501ae28bc3cf6596e4f583" ns2:_="">
    <xsd:import namespace="76d674b7-5cbe-49ce-9d79-ad6a43481b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74b7-5cbe-49ce-9d79-ad6a43481b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AC5EF-2144-4F01-B4C7-3A9131F3B871}">
  <ds:schemaRefs>
    <ds:schemaRef ds:uri="http://schemas.openxmlformats.org/officeDocument/2006/bibliography"/>
  </ds:schemaRefs>
</ds:datastoreItem>
</file>

<file path=customXml/itemProps2.xml><?xml version="1.0" encoding="utf-8"?>
<ds:datastoreItem xmlns:ds="http://schemas.openxmlformats.org/officeDocument/2006/customXml" ds:itemID="{A4A87882-7996-4369-A703-3B767EBE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74b7-5cbe-49ce-9d79-ad6a43481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E5E1A-24CD-4C80-A733-01D7B45EF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A9ED1-D535-4E82-8B70-63218D049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Benefits</Template>
  <TotalTime>15</TotalTime>
  <Pages>13</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Together - SIP</vt:lpstr>
    </vt:vector>
  </TitlesOfParts>
  <Company>Barker Tatham Investment Consultants Ltd</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 SIP</dc:title>
  <dc:creator>Steve Barker</dc:creator>
  <cp:lastModifiedBy>Bob</cp:lastModifiedBy>
  <cp:revision>3</cp:revision>
  <cp:lastPrinted>2020-09-22T15:32:00Z</cp:lastPrinted>
  <dcterms:created xsi:type="dcterms:W3CDTF">2020-09-22T15:33:00Z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0x0101003A997CB9AE906246A67541326CA9A8F1</vt:lpwstr>
  </property>
</Properties>
</file>